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DB0B" w14:textId="65E433E6" w:rsidR="001B5135" w:rsidRDefault="000678D3" w:rsidP="000678D3">
      <w:pPr>
        <w:jc w:val="right"/>
        <w:rPr>
          <w:sz w:val="2"/>
          <w:szCs w:val="2"/>
        </w:rPr>
      </w:pPr>
      <w:r>
        <w:rPr>
          <w:sz w:val="2"/>
          <w:szCs w:val="2"/>
        </w:rPr>
        <w:t>О</w:t>
      </w:r>
    </w:p>
    <w:p w14:paraId="4A161162" w14:textId="329FC794" w:rsidR="001B5135" w:rsidRPr="000678D3" w:rsidRDefault="000678D3" w:rsidP="000678D3">
      <w:pPr>
        <w:jc w:val="right"/>
        <w:rPr>
          <w:sz w:val="24"/>
          <w:szCs w:val="24"/>
        </w:rPr>
      </w:pPr>
      <w:r>
        <w:rPr>
          <w:sz w:val="24"/>
          <w:szCs w:val="24"/>
        </w:rPr>
        <w:t>Офіційно опубліковано 23.11.2021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231"/>
        <w:gridCol w:w="2627"/>
        <w:gridCol w:w="369"/>
        <w:gridCol w:w="1301"/>
        <w:gridCol w:w="1903"/>
      </w:tblGrid>
      <w:tr w:rsidR="000678D3" w14:paraId="7812F894" w14:textId="77777777" w:rsidTr="000678D3">
        <w:trPr>
          <w:trHeight w:val="851"/>
        </w:trPr>
        <w:tc>
          <w:tcPr>
            <w:tcW w:w="3207" w:type="dxa"/>
          </w:tcPr>
          <w:p w14:paraId="4218AEBB" w14:textId="77777777" w:rsidR="000678D3" w:rsidRDefault="000678D3" w:rsidP="006C6DF0"/>
        </w:tc>
        <w:tc>
          <w:tcPr>
            <w:tcW w:w="3227" w:type="dxa"/>
            <w:gridSpan w:val="3"/>
            <w:vMerge w:val="restart"/>
          </w:tcPr>
          <w:p w14:paraId="47F4122D" w14:textId="77777777" w:rsidR="000678D3" w:rsidRDefault="000678D3" w:rsidP="006C6DF0">
            <w:pPr>
              <w:jc w:val="center"/>
            </w:pPr>
            <w:r>
              <w:object w:dxaOrig="678" w:dyaOrig="956" w14:anchorId="7E7DFB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4.8pt;height:48pt" o:ole="">
                  <v:imagedata r:id="rId13" o:title=""/>
                </v:shape>
                <o:OLEObject Type="Embed" ProgID="CorelDraw.Graphic.16" ShapeID="_x0000_i1057" DrawAspect="Content" ObjectID="_1699103887" r:id="rId14"/>
              </w:object>
            </w:r>
          </w:p>
        </w:tc>
        <w:tc>
          <w:tcPr>
            <w:tcW w:w="3204" w:type="dxa"/>
            <w:gridSpan w:val="2"/>
          </w:tcPr>
          <w:p w14:paraId="796A24CE" w14:textId="77777777" w:rsidR="000678D3" w:rsidRPr="00800A1B" w:rsidRDefault="000678D3" w:rsidP="006C6DF0">
            <w:pPr>
              <w:ind w:right="314" w:firstLine="5"/>
              <w:rPr>
                <w:sz w:val="24"/>
                <w:szCs w:val="24"/>
              </w:rPr>
            </w:pPr>
          </w:p>
        </w:tc>
      </w:tr>
      <w:tr w:rsidR="000678D3" w14:paraId="79E6BB42" w14:textId="77777777" w:rsidTr="000678D3">
        <w:tc>
          <w:tcPr>
            <w:tcW w:w="3207" w:type="dxa"/>
          </w:tcPr>
          <w:p w14:paraId="0AD74ED0" w14:textId="77777777" w:rsidR="000678D3" w:rsidRDefault="000678D3" w:rsidP="006C6DF0"/>
        </w:tc>
        <w:tc>
          <w:tcPr>
            <w:tcW w:w="3227" w:type="dxa"/>
            <w:gridSpan w:val="3"/>
            <w:vMerge/>
          </w:tcPr>
          <w:p w14:paraId="00F73D96" w14:textId="77777777" w:rsidR="000678D3" w:rsidRDefault="000678D3" w:rsidP="006C6DF0"/>
        </w:tc>
        <w:tc>
          <w:tcPr>
            <w:tcW w:w="3204" w:type="dxa"/>
            <w:gridSpan w:val="2"/>
          </w:tcPr>
          <w:p w14:paraId="28024390" w14:textId="77777777" w:rsidR="000678D3" w:rsidRDefault="000678D3" w:rsidP="006C6DF0"/>
        </w:tc>
      </w:tr>
      <w:tr w:rsidR="000678D3" w14:paraId="40BB20C0" w14:textId="77777777" w:rsidTr="000678D3">
        <w:tc>
          <w:tcPr>
            <w:tcW w:w="9638" w:type="dxa"/>
            <w:gridSpan w:val="6"/>
          </w:tcPr>
          <w:p w14:paraId="23AAD76A" w14:textId="77777777" w:rsidR="000678D3" w:rsidRDefault="000678D3" w:rsidP="006C6DF0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C16C61C" w14:textId="77777777" w:rsidR="000678D3" w:rsidRDefault="000678D3" w:rsidP="006C6DF0">
            <w:pPr>
              <w:jc w:val="center"/>
            </w:pPr>
            <w:r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  <w:tr w:rsidR="001B5135" w14:paraId="34F6C401" w14:textId="77777777" w:rsidTr="000678D3">
        <w:tc>
          <w:tcPr>
            <w:tcW w:w="3438" w:type="dxa"/>
            <w:gridSpan w:val="2"/>
            <w:vAlign w:val="bottom"/>
          </w:tcPr>
          <w:p w14:paraId="6C972791" w14:textId="2C4D8DA4" w:rsidR="001B5135" w:rsidRDefault="00800A1B">
            <w:r>
              <w:t>22 листопада 2021 року</w:t>
            </w:r>
          </w:p>
        </w:tc>
        <w:tc>
          <w:tcPr>
            <w:tcW w:w="2627" w:type="dxa"/>
          </w:tcPr>
          <w:p w14:paraId="7DD5D9D0" w14:textId="77777777" w:rsidR="001B5135" w:rsidRDefault="00FB0378">
            <w:pPr>
              <w:spacing w:before="240"/>
              <w:jc w:val="center"/>
            </w:pPr>
            <w:r>
              <w:rPr>
                <w:color w:val="006600"/>
              </w:rPr>
              <w:t>м. Київ</w:t>
            </w:r>
          </w:p>
        </w:tc>
        <w:tc>
          <w:tcPr>
            <w:tcW w:w="1670" w:type="dxa"/>
            <w:gridSpan w:val="2"/>
            <w:vAlign w:val="bottom"/>
          </w:tcPr>
          <w:p w14:paraId="1011EF62" w14:textId="77777777" w:rsidR="001B5135" w:rsidRDefault="00FB0378">
            <w:pPr>
              <w:jc w:val="right"/>
            </w:pPr>
            <w:r>
              <w:rPr>
                <w:color w:val="FFFFFF" w:themeColor="background1"/>
              </w:rPr>
              <w:t>№</w:t>
            </w:r>
          </w:p>
        </w:tc>
        <w:tc>
          <w:tcPr>
            <w:tcW w:w="1903" w:type="dxa"/>
            <w:vAlign w:val="bottom"/>
          </w:tcPr>
          <w:p w14:paraId="1B194EF5" w14:textId="2421286F" w:rsidR="001B5135" w:rsidRDefault="00800A1B">
            <w:pPr>
              <w:jc w:val="left"/>
            </w:pPr>
            <w:r>
              <w:t>№ 122</w:t>
            </w:r>
          </w:p>
        </w:tc>
      </w:tr>
    </w:tbl>
    <w:p w14:paraId="79CA1A46" w14:textId="77777777" w:rsidR="001B5135" w:rsidRDefault="001B5135">
      <w:pPr>
        <w:rPr>
          <w:sz w:val="2"/>
          <w:szCs w:val="2"/>
        </w:rPr>
      </w:pPr>
    </w:p>
    <w:p w14:paraId="595EED4F" w14:textId="77777777" w:rsidR="001B5135" w:rsidRDefault="001B5135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14:paraId="29C2CF89" w14:textId="77777777" w:rsidR="001B5135" w:rsidRDefault="001B5135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f3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1B5135" w14:paraId="7486C37A" w14:textId="77777777">
        <w:trPr>
          <w:jc w:val="center"/>
        </w:trPr>
        <w:tc>
          <w:tcPr>
            <w:tcW w:w="5000" w:type="pct"/>
          </w:tcPr>
          <w:p w14:paraId="31A07A76" w14:textId="77777777" w:rsidR="001B5135" w:rsidRDefault="00FB0378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Про внесення змін до деяких нормативно-правових актів Національного банку України</w:t>
            </w:r>
          </w:p>
        </w:tc>
      </w:tr>
    </w:tbl>
    <w:p w14:paraId="71060B84" w14:textId="77777777" w:rsidR="001B5135" w:rsidRDefault="001B5135">
      <w:pPr>
        <w:ind w:firstLine="709"/>
        <w:rPr>
          <w:rFonts w:eastAsiaTheme="minorEastAsia"/>
          <w:lang w:eastAsia="en-US"/>
        </w:rPr>
      </w:pPr>
    </w:p>
    <w:p w14:paraId="0FF4ABE3" w14:textId="77777777" w:rsidR="001B5135" w:rsidRDefault="00FB0378">
      <w:pPr>
        <w:ind w:firstLine="709"/>
        <w:rPr>
          <w:b/>
        </w:rPr>
      </w:pPr>
      <w:r>
        <w:rPr>
          <w:rFonts w:eastAsiaTheme="minorEastAsia"/>
          <w:lang w:eastAsia="en-US"/>
        </w:rPr>
        <w:t>Відповідно до статей 7, 15, 55, 56 Закону України “Про Національний банк України”, статей 39, 44, 66, 67 Закону України “Про банки і банківську діяльність”,</w:t>
      </w:r>
      <w:r>
        <w:t xml:space="preserve"> з метою забезпечення стабільної діяльності банківської системи України та захисту інтересів кредиторів і вкладників Правління Національного банку України</w:t>
      </w:r>
      <w:r>
        <w:rPr>
          <w:b/>
        </w:rPr>
        <w:t xml:space="preserve"> постановляє:</w:t>
      </w:r>
    </w:p>
    <w:p w14:paraId="3872CA5A" w14:textId="12231277" w:rsidR="001B5135" w:rsidRDefault="00FB0378">
      <w:pPr>
        <w:spacing w:before="240" w:after="240"/>
        <w:ind w:firstLine="709"/>
      </w:pPr>
      <w:r>
        <w:rPr>
          <w:lang w:val="ru-RU"/>
        </w:rPr>
        <w:t>1.</w:t>
      </w:r>
      <w:r>
        <w:rPr>
          <w:lang w:val="en-US"/>
        </w:rPr>
        <w:t> </w:t>
      </w:r>
      <w:r>
        <w:t xml:space="preserve">Унести до постанови Правління Національного банку України від 18 липня 2019 року № 95 </w:t>
      </w:r>
      <w:r>
        <w:rPr>
          <w:lang w:val="ru-RU"/>
        </w:rPr>
        <w:t>“</w:t>
      </w:r>
      <w:r>
        <w:t>Про затвердження Положення про плани відновлення діяльності банків України та банківських груп</w:t>
      </w:r>
      <w:r>
        <w:rPr>
          <w:lang w:val="ru-RU"/>
        </w:rPr>
        <w:t xml:space="preserve">” </w:t>
      </w:r>
      <w:r>
        <w:t>такі зміни:</w:t>
      </w:r>
    </w:p>
    <w:p w14:paraId="26C9C2F4" w14:textId="77777777" w:rsidR="001B5135" w:rsidRDefault="00FB0378">
      <w:pPr>
        <w:spacing w:before="240"/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val="ru-RU" w:eastAsia="en-US"/>
        </w:rPr>
        <w:t>1)</w:t>
      </w:r>
      <w:r>
        <w:rPr>
          <w:rFonts w:eastAsiaTheme="minorEastAsia"/>
          <w:color w:val="000000" w:themeColor="text1"/>
          <w:lang w:val="en-US" w:eastAsia="en-US"/>
        </w:rPr>
        <w:t> </w:t>
      </w:r>
      <w:r>
        <w:rPr>
          <w:rFonts w:eastAsiaTheme="minorEastAsia"/>
          <w:color w:val="000000" w:themeColor="text1"/>
          <w:lang w:eastAsia="en-US"/>
        </w:rPr>
        <w:t xml:space="preserve">пункт 2 викласти в такій редакції: </w:t>
      </w:r>
    </w:p>
    <w:p w14:paraId="2548BF78" w14:textId="0C0369C9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“2. Банки (уключаючи банки, які є відповідальними особами банківських груп) зобов’язані забезпечити подання до Національного банку України плану відновлення діяльності (далі ‒ План), який відповідає вимогам Положення.”;</w:t>
      </w:r>
    </w:p>
    <w:p w14:paraId="72E6143D" w14:textId="77777777" w:rsidR="001B5135" w:rsidRDefault="00FB0378">
      <w:pPr>
        <w:spacing w:before="240"/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val="ru-RU" w:eastAsia="en-US"/>
        </w:rPr>
        <w:t>2</w:t>
      </w:r>
      <w:r>
        <w:rPr>
          <w:rFonts w:eastAsiaTheme="minorEastAsia"/>
          <w:color w:val="000000" w:themeColor="text1"/>
          <w:lang w:eastAsia="en-US"/>
        </w:rPr>
        <w:t xml:space="preserve">) постанову після пункту </w:t>
      </w:r>
      <w:r>
        <w:rPr>
          <w:rFonts w:eastAsiaTheme="minorEastAsia"/>
          <w:color w:val="000000" w:themeColor="text1"/>
          <w:lang w:val="ru-RU" w:eastAsia="en-US"/>
        </w:rPr>
        <w:t>2</w:t>
      </w:r>
      <w:r>
        <w:rPr>
          <w:rFonts w:eastAsiaTheme="minorEastAsia"/>
          <w:color w:val="000000" w:themeColor="text1"/>
          <w:lang w:eastAsia="en-US"/>
        </w:rPr>
        <w:t xml:space="preserve"> доповнити новим пунктом </w:t>
      </w:r>
      <w:r>
        <w:rPr>
          <w:rFonts w:eastAsiaTheme="minorEastAsia"/>
          <w:color w:val="000000" w:themeColor="text1"/>
          <w:lang w:val="ru-RU" w:eastAsia="en-US"/>
        </w:rPr>
        <w:t>2</w:t>
      </w:r>
      <w:r>
        <w:rPr>
          <w:rFonts w:eastAsiaTheme="minorEastAsia"/>
          <w:color w:val="000000" w:themeColor="text1"/>
          <w:vertAlign w:val="superscript"/>
          <w:lang w:eastAsia="en-US"/>
        </w:rPr>
        <w:t>1</w:t>
      </w:r>
      <w:r>
        <w:rPr>
          <w:rFonts w:eastAsiaTheme="minorEastAsia"/>
          <w:color w:val="000000" w:themeColor="text1"/>
          <w:lang w:eastAsia="en-US"/>
        </w:rPr>
        <w:t xml:space="preserve"> такого змісту: </w:t>
      </w:r>
    </w:p>
    <w:p w14:paraId="7FA36A75" w14:textId="77777777" w:rsidR="001B5135" w:rsidRDefault="00FB0378">
      <w:pPr>
        <w:spacing w:after="240"/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“</w:t>
      </w:r>
      <w:r>
        <w:rPr>
          <w:rFonts w:eastAsiaTheme="minorEastAsia"/>
          <w:color w:val="000000" w:themeColor="text1"/>
          <w:lang w:val="ru-RU" w:eastAsia="en-US"/>
        </w:rPr>
        <w:t>2</w:t>
      </w:r>
      <w:r>
        <w:rPr>
          <w:rFonts w:eastAsiaTheme="minorEastAsia"/>
          <w:color w:val="000000" w:themeColor="text1"/>
          <w:vertAlign w:val="superscript"/>
          <w:lang w:eastAsia="en-US"/>
        </w:rPr>
        <w:t>1</w:t>
      </w:r>
      <w:r>
        <w:rPr>
          <w:rFonts w:eastAsiaTheme="minorEastAsia"/>
          <w:color w:val="000000" w:themeColor="text1"/>
          <w:lang w:eastAsia="en-US"/>
        </w:rPr>
        <w:t>. Банки забезпечують подання Плану до Національного банку України:</w:t>
      </w:r>
    </w:p>
    <w:p w14:paraId="3B3805E9" w14:textId="77777777" w:rsidR="001B5135" w:rsidRDefault="00FB0378">
      <w:pPr>
        <w:spacing w:after="240"/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1) у 2021 році – не пізніше 31 грудня 2021 року;</w:t>
      </w:r>
    </w:p>
    <w:p w14:paraId="6F479BC6" w14:textId="79FDF41F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2) починаючи з 2022 року – у термін та з періодичністю, установлені в підпункті 1 пункту 8 розділу І Положення.”;</w:t>
      </w:r>
    </w:p>
    <w:p w14:paraId="292FFCDB" w14:textId="77777777" w:rsidR="001B5135" w:rsidRDefault="00FB0378">
      <w:pPr>
        <w:spacing w:before="240"/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val="ru-RU" w:eastAsia="en-US"/>
        </w:rPr>
        <w:t>3</w:t>
      </w:r>
      <w:r>
        <w:rPr>
          <w:rFonts w:eastAsiaTheme="minorEastAsia"/>
          <w:color w:val="000000" w:themeColor="text1"/>
          <w:lang w:eastAsia="en-US"/>
        </w:rPr>
        <w:t>) пункти 3 та 4 виключити.</w:t>
      </w:r>
    </w:p>
    <w:p w14:paraId="31043633" w14:textId="77777777" w:rsidR="001B5135" w:rsidRDefault="00FB0378">
      <w:pPr>
        <w:spacing w:before="240" w:after="240"/>
        <w:ind w:firstLine="709"/>
      </w:pPr>
      <w:r>
        <w:rPr>
          <w:rFonts w:eastAsiaTheme="minorEastAsia"/>
          <w:color w:val="000000" w:themeColor="text1"/>
          <w:lang w:eastAsia="en-US"/>
        </w:rPr>
        <w:t>2. </w:t>
      </w:r>
      <w:r>
        <w:t>Затвердити Зміни до Положення про плани відновлення діяльності банків України та банківських груп, затвердженого постановою Правління Національного банку України від 18 липня 2019 року № 95 (зі змінами), що додаються.</w:t>
      </w:r>
    </w:p>
    <w:p w14:paraId="09A017CD" w14:textId="77777777" w:rsidR="001B5135" w:rsidRDefault="00FB0378">
      <w:pPr>
        <w:spacing w:before="240" w:after="240"/>
        <w:ind w:firstLine="709"/>
      </w:pPr>
      <w:r>
        <w:rPr>
          <w:rFonts w:eastAsiaTheme="minorEastAsia"/>
          <w:color w:val="000000" w:themeColor="text1"/>
          <w:lang w:eastAsia="en-US"/>
        </w:rPr>
        <w:lastRenderedPageBreak/>
        <w:t>3. </w:t>
      </w:r>
      <w: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14:paraId="5DBDBBB5" w14:textId="77777777" w:rsidR="001B5135" w:rsidRDefault="00FB0378">
      <w:pPr>
        <w:spacing w:before="240" w:after="240"/>
        <w:ind w:firstLine="709"/>
        <w:rPr>
          <w:rFonts w:eastAsiaTheme="minorEastAsia"/>
          <w:color w:val="000000" w:themeColor="text1"/>
          <w:lang w:eastAsia="en-US"/>
        </w:rPr>
      </w:pPr>
      <w:r>
        <w:t>4. </w:t>
      </w:r>
      <w:r>
        <w:rPr>
          <w:bCs/>
        </w:rPr>
        <w:t>Постанова набирає чинності з дня, наступного за днем її офіційного опублікування.</w:t>
      </w:r>
    </w:p>
    <w:p w14:paraId="52D6FD59" w14:textId="77777777" w:rsidR="001B5135" w:rsidRDefault="001B5135">
      <w:pPr>
        <w:pStyle w:val="af9"/>
        <w:spacing w:before="240" w:after="120"/>
        <w:ind w:left="0" w:firstLine="709"/>
        <w:rPr>
          <w:rFonts w:eastAsiaTheme="minorEastAsia"/>
          <w:color w:val="000000" w:themeColor="text1"/>
          <w:lang w:eastAsia="en-US"/>
        </w:rPr>
      </w:pPr>
    </w:p>
    <w:tbl>
      <w:tblPr>
        <w:tblStyle w:val="af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1B5135" w14:paraId="40F14EBC" w14:textId="77777777">
        <w:tc>
          <w:tcPr>
            <w:tcW w:w="5387" w:type="dxa"/>
            <w:vAlign w:val="bottom"/>
          </w:tcPr>
          <w:p w14:paraId="1CC21D12" w14:textId="77777777" w:rsidR="001B5135" w:rsidRDefault="00FB0378">
            <w:pPr>
              <w:autoSpaceDE w:val="0"/>
              <w:autoSpaceDN w:val="0"/>
              <w:ind w:hanging="109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5DE1F7EE" w14:textId="77777777" w:rsidR="001B5135" w:rsidRDefault="00FB0378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04666402" w14:textId="77777777" w:rsidR="001B5135" w:rsidRDefault="001B5135"/>
    <w:p w14:paraId="67174ECE" w14:textId="77777777" w:rsidR="001B5135" w:rsidRDefault="001B5135"/>
    <w:p w14:paraId="75386BF4" w14:textId="77777777" w:rsidR="001B5135" w:rsidRDefault="00FB0378">
      <w:pPr>
        <w:jc w:val="left"/>
        <w:sectPr w:rsidR="001B5135">
          <w:headerReference w:type="default" r:id="rId15"/>
          <w:footerReference w:type="first" r:id="rId16"/>
          <w:pgSz w:w="11906" w:h="16838"/>
          <w:pgMar w:top="567" w:right="567" w:bottom="1701" w:left="1701" w:header="709" w:footer="709" w:gutter="0"/>
          <w:cols w:space="708"/>
          <w:titlePg/>
          <w:docGrid w:linePitch="381"/>
        </w:sectPr>
      </w:pPr>
      <w:r>
        <w:t>Інд.</w:t>
      </w:r>
      <w:r>
        <w:rPr>
          <w:sz w:val="22"/>
          <w:szCs w:val="22"/>
        </w:rPr>
        <w:t xml:space="preserve"> </w:t>
      </w:r>
      <w:r>
        <w:t>22</w:t>
      </w:r>
    </w:p>
    <w:p w14:paraId="109255D9" w14:textId="77777777" w:rsidR="001B5135" w:rsidRDefault="00FB0378">
      <w:pPr>
        <w:pStyle w:val="6"/>
        <w:shd w:val="clear" w:color="auto" w:fill="FFFFFF"/>
        <w:ind w:firstLine="567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ЗАТВЕРДЖЕНО</w:t>
      </w:r>
    </w:p>
    <w:p w14:paraId="58F41004" w14:textId="1E8B3AA1" w:rsidR="001B5135" w:rsidRDefault="00FB0378">
      <w:pPr>
        <w:shd w:val="clear" w:color="auto" w:fill="FFFFFF"/>
        <w:ind w:firstLine="5670"/>
        <w:rPr>
          <w:color w:val="000000"/>
        </w:rPr>
      </w:pPr>
      <w:r>
        <w:rPr>
          <w:color w:val="000000"/>
        </w:rPr>
        <w:t>Постанова Правління</w:t>
      </w:r>
    </w:p>
    <w:p w14:paraId="26174D69" w14:textId="77777777" w:rsidR="001B5135" w:rsidRDefault="00FB0378">
      <w:pPr>
        <w:shd w:val="clear" w:color="auto" w:fill="FFFFFF"/>
        <w:ind w:firstLine="5670"/>
        <w:rPr>
          <w:color w:val="000000"/>
        </w:rPr>
      </w:pPr>
      <w:r>
        <w:rPr>
          <w:color w:val="000000"/>
        </w:rPr>
        <w:t>Національного банку України</w:t>
      </w:r>
    </w:p>
    <w:p w14:paraId="67017475" w14:textId="455110B7" w:rsidR="001B5135" w:rsidRDefault="001C7B16">
      <w:pPr>
        <w:shd w:val="clear" w:color="auto" w:fill="FFFFFF"/>
        <w:ind w:firstLine="5670"/>
        <w:rPr>
          <w:color w:val="000000"/>
        </w:rPr>
      </w:pPr>
      <w:r>
        <w:t>22 листопада 2021 року</w:t>
      </w:r>
      <w:r>
        <w:t xml:space="preserve"> № 122</w:t>
      </w:r>
    </w:p>
    <w:p w14:paraId="3DDD9900" w14:textId="77777777" w:rsidR="001B5135" w:rsidRDefault="001B5135">
      <w:pPr>
        <w:shd w:val="clear" w:color="auto" w:fill="FFFFFF"/>
        <w:ind w:firstLine="5670"/>
        <w:rPr>
          <w:color w:val="000000"/>
        </w:rPr>
      </w:pPr>
    </w:p>
    <w:p w14:paraId="79436F6F" w14:textId="77777777" w:rsidR="001B5135" w:rsidRDefault="001B5135">
      <w:pPr>
        <w:shd w:val="clear" w:color="auto" w:fill="FFFFFF"/>
        <w:ind w:firstLine="5670"/>
        <w:rPr>
          <w:color w:val="000000"/>
        </w:rPr>
      </w:pPr>
    </w:p>
    <w:p w14:paraId="2B16FEBF" w14:textId="77777777" w:rsidR="001B5135" w:rsidRDefault="00FB0378">
      <w:pPr>
        <w:shd w:val="clear" w:color="auto" w:fill="FFFFFF"/>
        <w:jc w:val="center"/>
      </w:pPr>
      <w:r>
        <w:t>Зміни до Положення про плани відновлення діяльності банків України та банківських груп</w:t>
      </w:r>
    </w:p>
    <w:p w14:paraId="2C379DF6" w14:textId="77777777" w:rsidR="001B5135" w:rsidRDefault="001B5135">
      <w:pPr>
        <w:shd w:val="clear" w:color="auto" w:fill="FFFFFF"/>
        <w:jc w:val="center"/>
      </w:pPr>
    </w:p>
    <w:p w14:paraId="6CB39F29" w14:textId="77777777" w:rsidR="001B5135" w:rsidRDefault="00FB0378">
      <w:pPr>
        <w:pStyle w:val="af9"/>
        <w:numPr>
          <w:ilvl w:val="0"/>
          <w:numId w:val="1"/>
        </w:numPr>
        <w:spacing w:before="240"/>
      </w:pPr>
      <w:r>
        <w:t xml:space="preserve">У розділі </w:t>
      </w:r>
      <w:r>
        <w:rPr>
          <w:lang w:val="en-US"/>
        </w:rPr>
        <w:t>I</w:t>
      </w:r>
      <w:r>
        <w:t>:</w:t>
      </w:r>
    </w:p>
    <w:p w14:paraId="41EDDBF5" w14:textId="77777777" w:rsidR="001B5135" w:rsidRDefault="001B5135">
      <w:pPr>
        <w:pStyle w:val="af9"/>
        <w:spacing w:before="240"/>
        <w:ind w:left="1069"/>
      </w:pPr>
    </w:p>
    <w:p w14:paraId="5D1C2DC7" w14:textId="5E550595" w:rsidR="001B5135" w:rsidRDefault="00FB0378">
      <w:pPr>
        <w:pStyle w:val="af9"/>
        <w:numPr>
          <w:ilvl w:val="0"/>
          <w:numId w:val="2"/>
        </w:numPr>
        <w:ind w:left="0" w:firstLine="709"/>
      </w:pPr>
      <w:r>
        <w:t xml:space="preserve">в абзаці другому підпункту 1 пункту 2 </w:t>
      </w:r>
      <w:r>
        <w:rPr>
          <w:rFonts w:eastAsiaTheme="minorEastAsia"/>
          <w:color w:val="000000" w:themeColor="text1"/>
          <w:lang w:eastAsia="en-US"/>
        </w:rPr>
        <w:t xml:space="preserve">слова </w:t>
      </w:r>
      <w:r>
        <w:t>“щодо кредитно-інвестиційної підгрупи” замінити словами “за кредитно-інвестиційною підгрупою”;</w:t>
      </w:r>
    </w:p>
    <w:p w14:paraId="1D151B17" w14:textId="77777777" w:rsidR="001B5135" w:rsidRDefault="001B5135">
      <w:pPr>
        <w:ind w:firstLine="709"/>
      </w:pPr>
    </w:p>
    <w:p w14:paraId="4DBCF521" w14:textId="77777777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t xml:space="preserve">2) пункт 7 </w:t>
      </w:r>
      <w:r>
        <w:rPr>
          <w:lang w:val="ru-RU"/>
        </w:rPr>
        <w:t xml:space="preserve"> </w:t>
      </w:r>
      <w:r>
        <w:rPr>
          <w:rFonts w:eastAsiaTheme="minorEastAsia"/>
          <w:color w:val="000000" w:themeColor="text1"/>
          <w:lang w:eastAsia="en-US"/>
        </w:rPr>
        <w:t xml:space="preserve">викласти в такій редакції: </w:t>
      </w:r>
    </w:p>
    <w:p w14:paraId="6514E088" w14:textId="77777777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“7. Банки України розробляють Плани на індивідуальній основі.</w:t>
      </w:r>
    </w:p>
    <w:p w14:paraId="6CF6B0AC" w14:textId="77777777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Банки, які є відповідальними особами банківських груп, розробляють Плани на індивідуальній основі та консолідованій основі за КІП.”;</w:t>
      </w:r>
    </w:p>
    <w:p w14:paraId="4EE4AC92" w14:textId="77777777" w:rsidR="001B5135" w:rsidRDefault="001B5135">
      <w:pPr>
        <w:ind w:firstLine="709"/>
      </w:pPr>
    </w:p>
    <w:p w14:paraId="35BD4112" w14:textId="77777777" w:rsidR="001B5135" w:rsidRDefault="00FB0378">
      <w:pPr>
        <w:ind w:firstLine="709"/>
        <w:rPr>
          <w:rFonts w:eastAsiaTheme="minorEastAsia"/>
          <w:color w:val="000000" w:themeColor="text1"/>
          <w:lang w:val="ru-RU" w:eastAsia="en-US"/>
        </w:rPr>
      </w:pPr>
      <w:r>
        <w:rPr>
          <w:lang w:val="ru-RU"/>
        </w:rPr>
        <w:t xml:space="preserve">3) </w:t>
      </w:r>
      <w:r>
        <w:t>у пункті 8</w:t>
      </w:r>
      <w:r>
        <w:rPr>
          <w:rFonts w:eastAsiaTheme="minorEastAsia"/>
          <w:color w:val="000000" w:themeColor="text1"/>
          <w:lang w:eastAsia="en-US"/>
        </w:rPr>
        <w:t>:</w:t>
      </w:r>
    </w:p>
    <w:p w14:paraId="387615D3" w14:textId="7EC40FD3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 xml:space="preserve">в абзаці першому слова </w:t>
      </w:r>
      <w:r>
        <w:rPr>
          <w:rFonts w:eastAsiaTheme="minorEastAsia"/>
          <w:color w:val="000000" w:themeColor="text1"/>
          <w:lang w:val="ru-RU" w:eastAsia="en-US"/>
        </w:rPr>
        <w:t>“/</w:t>
      </w:r>
      <w:r>
        <w:rPr>
          <w:rFonts w:eastAsiaTheme="minorEastAsia"/>
          <w:color w:val="000000" w:themeColor="text1"/>
          <w:lang w:eastAsia="en-US"/>
        </w:rPr>
        <w:t>відповідальна особа банківської групи</w:t>
      </w:r>
      <w:r>
        <w:rPr>
          <w:rFonts w:eastAsiaTheme="minorEastAsia"/>
          <w:color w:val="000000" w:themeColor="text1"/>
          <w:lang w:val="ru-RU" w:eastAsia="en-US"/>
        </w:rPr>
        <w:t xml:space="preserve">” </w:t>
      </w:r>
      <w:r>
        <w:rPr>
          <w:rFonts w:eastAsiaTheme="minorEastAsia"/>
          <w:color w:val="000000" w:themeColor="text1"/>
          <w:lang w:eastAsia="en-US"/>
        </w:rPr>
        <w:t>виключити;</w:t>
      </w:r>
    </w:p>
    <w:p w14:paraId="253001AB" w14:textId="42A004AB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t xml:space="preserve">підпункти 1, 2 викласти </w:t>
      </w:r>
      <w:r>
        <w:rPr>
          <w:rFonts w:eastAsiaTheme="minorEastAsia"/>
          <w:color w:val="000000" w:themeColor="text1"/>
          <w:lang w:eastAsia="en-US"/>
        </w:rPr>
        <w:t>в такій редакції:</w:t>
      </w:r>
    </w:p>
    <w:p w14:paraId="3DBCB192" w14:textId="0FDFE712" w:rsidR="001B5135" w:rsidRDefault="00FB0378">
      <w:pPr>
        <w:ind w:firstLine="709"/>
        <w:rPr>
          <w:rFonts w:eastAsiaTheme="minorEastAsia"/>
          <w:color w:val="000000" w:themeColor="text1"/>
          <w:lang w:val="ru-RU" w:eastAsia="en-US"/>
        </w:rPr>
      </w:pPr>
      <w:r>
        <w:rPr>
          <w:rFonts w:eastAsiaTheme="minorEastAsia"/>
          <w:color w:val="000000" w:themeColor="text1"/>
          <w:lang w:val="ru-RU" w:eastAsia="en-US"/>
        </w:rPr>
        <w:t>“1) не пізніше 01 жовтня з періодичністю:</w:t>
      </w:r>
    </w:p>
    <w:p w14:paraId="0AF50D94" w14:textId="77777777" w:rsidR="001B5135" w:rsidRDefault="00FB0378">
      <w:pPr>
        <w:ind w:firstLine="709"/>
        <w:rPr>
          <w:rFonts w:eastAsiaTheme="minorEastAsia"/>
          <w:color w:val="000000" w:themeColor="text1"/>
          <w:lang w:val="ru-RU" w:eastAsia="en-US"/>
        </w:rPr>
      </w:pPr>
      <w:r>
        <w:rPr>
          <w:rFonts w:eastAsiaTheme="minorEastAsia"/>
          <w:color w:val="000000" w:themeColor="text1"/>
          <w:lang w:val="ru-RU" w:eastAsia="en-US"/>
        </w:rPr>
        <w:t>щороку – системно важливий банк та банк, який є відповідальною особою банківської групи;</w:t>
      </w:r>
    </w:p>
    <w:p w14:paraId="76168A94" w14:textId="77777777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val="ru-RU" w:eastAsia="en-US"/>
        </w:rPr>
        <w:t>один раз на два роки – банк, не зазначений в абзаці другому підпункту 1 пункту 8 розділу І цього Положення;</w:t>
      </w:r>
    </w:p>
    <w:p w14:paraId="59CF4939" w14:textId="77777777" w:rsidR="001B5135" w:rsidRDefault="001B5135">
      <w:pPr>
        <w:ind w:firstLine="709"/>
        <w:rPr>
          <w:rFonts w:eastAsiaTheme="minorEastAsia"/>
          <w:color w:val="000000" w:themeColor="text1"/>
          <w:lang w:eastAsia="en-US"/>
        </w:rPr>
      </w:pPr>
    </w:p>
    <w:p w14:paraId="0038FA7C" w14:textId="1BB053F1" w:rsidR="001B5135" w:rsidRDefault="00FB0378">
      <w:pPr>
        <w:ind w:firstLine="851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2) у разі настання подій/обставин, що призвели до суттєвих змін у діяльності банку та спричинили необхідність оновлення Плану (уключаючи зміну основних напрямів діяльності та критично важливих контрагентів, зміну власників істотної участі банку, реорганізацію банку) та/або отримання вимоги Національного банку про оновлення Плану.</w:t>
      </w:r>
    </w:p>
    <w:p w14:paraId="24EE144E" w14:textId="77777777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Оновлений План має містити короткий опис подій/обставин, що спричинили необхідність оновлення Плану.</w:t>
      </w:r>
    </w:p>
    <w:p w14:paraId="5C8DC316" w14:textId="16D62897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Банк забезпечує оновлення Плану та подання його Національному банку протягом двох місяців із дня настання подій/обставин, що спричинили необхідність оновлення Плану/у термін, установлений у вимозі Національного банку;”.</w:t>
      </w:r>
    </w:p>
    <w:p w14:paraId="4582078C" w14:textId="77777777" w:rsidR="001B5135" w:rsidRDefault="00FB0378">
      <w:pPr>
        <w:spacing w:before="240" w:after="240"/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val="ru-RU" w:eastAsia="en-US"/>
        </w:rPr>
        <w:lastRenderedPageBreak/>
        <w:t>2</w:t>
      </w:r>
      <w:r>
        <w:rPr>
          <w:rFonts w:eastAsiaTheme="minorEastAsia"/>
          <w:color w:val="000000" w:themeColor="text1"/>
          <w:lang w:eastAsia="en-US"/>
        </w:rPr>
        <w:t xml:space="preserve">. Абзац перший пункту 21 розділу </w:t>
      </w:r>
      <w:r>
        <w:rPr>
          <w:rFonts w:eastAsiaTheme="minorEastAsia"/>
          <w:color w:val="000000" w:themeColor="text1"/>
          <w:lang w:val="en-US" w:eastAsia="en-US"/>
        </w:rPr>
        <w:t>III</w:t>
      </w:r>
      <w:r>
        <w:rPr>
          <w:rFonts w:eastAsiaTheme="minorEastAsia"/>
          <w:color w:val="000000" w:themeColor="text1"/>
          <w:lang w:eastAsia="en-US"/>
        </w:rPr>
        <w:t xml:space="preserve"> </w:t>
      </w:r>
      <w:r>
        <w:t>після слів “індивідуальних особливостей банку” доповнити словами та літерами “, бізнес-плану банку/учасників КІП”.</w:t>
      </w:r>
      <w:r>
        <w:rPr>
          <w:rFonts w:eastAsiaTheme="minorEastAsia"/>
          <w:color w:val="000000" w:themeColor="text1"/>
          <w:lang w:eastAsia="en-US"/>
        </w:rPr>
        <w:t xml:space="preserve"> </w:t>
      </w:r>
    </w:p>
    <w:p w14:paraId="2868568F" w14:textId="77777777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val="ru-RU" w:eastAsia="en-US"/>
        </w:rPr>
        <w:t>3.</w:t>
      </w:r>
      <w:r>
        <w:rPr>
          <w:rFonts w:eastAsiaTheme="minorEastAsia"/>
          <w:color w:val="000000" w:themeColor="text1"/>
          <w:lang w:eastAsia="en-US"/>
        </w:rPr>
        <w:t xml:space="preserve"> У пункті 29 розділу </w:t>
      </w:r>
      <w:r>
        <w:rPr>
          <w:rFonts w:eastAsiaTheme="minorEastAsia"/>
          <w:color w:val="000000" w:themeColor="text1"/>
          <w:lang w:val="en-US" w:eastAsia="en-US"/>
        </w:rPr>
        <w:t>V</w:t>
      </w:r>
      <w:r>
        <w:rPr>
          <w:rFonts w:eastAsiaTheme="minorEastAsia"/>
          <w:color w:val="000000" w:themeColor="text1"/>
          <w:lang w:eastAsia="en-US"/>
        </w:rPr>
        <w:t>:</w:t>
      </w:r>
    </w:p>
    <w:p w14:paraId="45CD777A" w14:textId="77777777" w:rsidR="001B5135" w:rsidRDefault="001B5135">
      <w:pPr>
        <w:ind w:firstLine="709"/>
        <w:rPr>
          <w:rFonts w:eastAsiaTheme="minorEastAsia"/>
          <w:color w:val="000000" w:themeColor="text1"/>
          <w:lang w:eastAsia="en-US"/>
        </w:rPr>
      </w:pPr>
    </w:p>
    <w:p w14:paraId="766D60C1" w14:textId="1DCA66BD" w:rsidR="001B5135" w:rsidRDefault="00FB0378">
      <w:pPr>
        <w:ind w:firstLine="709"/>
      </w:pPr>
      <w:r>
        <w:rPr>
          <w:rFonts w:eastAsiaTheme="minorEastAsia"/>
          <w:color w:val="000000" w:themeColor="text1"/>
          <w:lang w:eastAsia="en-US"/>
        </w:rPr>
        <w:t xml:space="preserve">1) в абзаці першому слова </w:t>
      </w:r>
      <w:r>
        <w:t>“із відповідною деталізацією не рідше одного разу на квартал” замінити словами “щонайменше в щоквартальному розрізі”;</w:t>
      </w:r>
    </w:p>
    <w:p w14:paraId="5D25B95B" w14:textId="77777777" w:rsidR="001B5135" w:rsidRDefault="001B5135">
      <w:pPr>
        <w:ind w:firstLine="709"/>
        <w:rPr>
          <w:rFonts w:eastAsiaTheme="minorEastAsia"/>
          <w:color w:val="000000" w:themeColor="text1"/>
          <w:lang w:eastAsia="en-US"/>
        </w:rPr>
      </w:pPr>
    </w:p>
    <w:p w14:paraId="0B44D1F8" w14:textId="77777777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 xml:space="preserve">2) у підпункті 1 слово </w:t>
      </w:r>
      <w:r>
        <w:t>“настання” замінити словом “розгортання”;</w:t>
      </w:r>
    </w:p>
    <w:p w14:paraId="6A37DEDF" w14:textId="77777777" w:rsidR="001B5135" w:rsidRDefault="001B5135">
      <w:pPr>
        <w:ind w:firstLine="709"/>
        <w:rPr>
          <w:rFonts w:eastAsiaTheme="minorEastAsia"/>
          <w:color w:val="000000" w:themeColor="text1"/>
          <w:lang w:eastAsia="en-US"/>
        </w:rPr>
      </w:pPr>
    </w:p>
    <w:p w14:paraId="7C6E11A9" w14:textId="77777777" w:rsidR="001B5135" w:rsidRDefault="00FB0378">
      <w:pPr>
        <w:ind w:firstLine="709"/>
      </w:pPr>
      <w:r>
        <w:rPr>
          <w:rFonts w:eastAsiaTheme="minorEastAsia"/>
          <w:color w:val="000000" w:themeColor="text1"/>
          <w:lang w:eastAsia="en-US"/>
        </w:rPr>
        <w:t xml:space="preserve">3) пункт </w:t>
      </w:r>
      <w:r>
        <w:t>доповнити новим підпунктом  такого змісту:</w:t>
      </w:r>
    </w:p>
    <w:p w14:paraId="25A87BE1" w14:textId="23759840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“3) ураховують вимоги нормативно-правових актів Національного банку стосовно оцінки ризиків, порядку розрахунку та значень економічних нормативів як ті, що вже набрали чинності, так і ті, що набирають чинності в періоді, на який розробляються стрес-сценарії.”.</w:t>
      </w:r>
    </w:p>
    <w:p w14:paraId="4BA52767" w14:textId="77777777" w:rsidR="001B5135" w:rsidRDefault="00FB0378">
      <w:pPr>
        <w:spacing w:before="240"/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val="ru-RU" w:eastAsia="en-US"/>
        </w:rPr>
        <w:t>4. У</w:t>
      </w:r>
      <w:r>
        <w:rPr>
          <w:rFonts w:eastAsiaTheme="minorEastAsia"/>
          <w:color w:val="000000" w:themeColor="text1"/>
          <w:lang w:eastAsia="en-US"/>
        </w:rPr>
        <w:t xml:space="preserve"> розділі </w:t>
      </w:r>
      <w:r>
        <w:rPr>
          <w:rFonts w:eastAsiaTheme="minorEastAsia"/>
          <w:color w:val="000000" w:themeColor="text1"/>
          <w:lang w:val="en-US" w:eastAsia="en-US"/>
        </w:rPr>
        <w:t>VIII</w:t>
      </w:r>
      <w:r>
        <w:rPr>
          <w:rFonts w:eastAsiaTheme="minorEastAsia"/>
          <w:color w:val="000000" w:themeColor="text1"/>
          <w:lang w:eastAsia="en-US"/>
        </w:rPr>
        <w:t>:</w:t>
      </w:r>
    </w:p>
    <w:p w14:paraId="19E56AE5" w14:textId="77777777" w:rsidR="001B5135" w:rsidRDefault="00FB0378">
      <w:pPr>
        <w:spacing w:before="240"/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 xml:space="preserve">1) пункт 41 викласти в такій редакції: </w:t>
      </w:r>
    </w:p>
    <w:p w14:paraId="114289D1" w14:textId="77777777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“41. План банківської групи затверджується радою банку, який є відповідальною особою банківської групи, за результатами розгляду пропозицій правління цього банку.”;</w:t>
      </w:r>
    </w:p>
    <w:p w14:paraId="40ADDA5D" w14:textId="77777777" w:rsidR="001B5135" w:rsidRDefault="001B5135">
      <w:pPr>
        <w:ind w:firstLine="709"/>
        <w:rPr>
          <w:rFonts w:eastAsiaTheme="minorEastAsia"/>
          <w:color w:val="000000" w:themeColor="text1"/>
          <w:lang w:eastAsia="en-US"/>
        </w:rPr>
      </w:pPr>
    </w:p>
    <w:p w14:paraId="689EE78B" w14:textId="77777777" w:rsidR="001B5135" w:rsidRDefault="00FB0378">
      <w:pPr>
        <w:ind w:firstLine="709"/>
      </w:pPr>
      <w:r w:rsidRPr="00B90452">
        <w:rPr>
          <w:rFonts w:eastAsiaTheme="minorEastAsia"/>
          <w:color w:val="000000" w:themeColor="text1"/>
          <w:lang w:eastAsia="en-US"/>
        </w:rPr>
        <w:t>2)</w:t>
      </w:r>
      <w:r>
        <w:rPr>
          <w:rFonts w:eastAsiaTheme="minorEastAsia"/>
          <w:color w:val="000000" w:themeColor="text1"/>
          <w:lang w:eastAsia="en-US"/>
        </w:rPr>
        <w:t xml:space="preserve"> в абзаці першому  пункту 42 та  пункті  43 слова </w:t>
      </w:r>
      <w:r>
        <w:t>“Відповідальна особа банківської групи” замінити словами “Банк, який є відповідальною особою банківської групи,”;</w:t>
      </w:r>
    </w:p>
    <w:p w14:paraId="33259D75" w14:textId="77777777" w:rsidR="001B5135" w:rsidRDefault="001B5135">
      <w:pPr>
        <w:ind w:firstLine="709"/>
      </w:pPr>
    </w:p>
    <w:p w14:paraId="451662CD" w14:textId="77777777" w:rsidR="001B5135" w:rsidRDefault="00FB0378">
      <w:pPr>
        <w:ind w:firstLine="709"/>
      </w:pPr>
      <w:r w:rsidRPr="00967EF7">
        <w:t>3)</w:t>
      </w:r>
      <w:r>
        <w:t xml:space="preserve"> у пункті 44:</w:t>
      </w:r>
    </w:p>
    <w:p w14:paraId="06D92F63" w14:textId="77777777" w:rsidR="001B5135" w:rsidRDefault="00FB0378">
      <w:pPr>
        <w:ind w:firstLine="709"/>
      </w:pPr>
      <w:r>
        <w:t xml:space="preserve">в абзаці першому </w:t>
      </w:r>
      <w:r>
        <w:rPr>
          <w:rFonts w:eastAsiaTheme="minorEastAsia"/>
          <w:color w:val="000000" w:themeColor="text1"/>
          <w:lang w:eastAsia="en-US"/>
        </w:rPr>
        <w:t xml:space="preserve">слова </w:t>
      </w:r>
      <w:r>
        <w:t>“Відповідальна особа банківської групи” замінити словами “Банк, який є відповідальною особою банківської групи,”;</w:t>
      </w:r>
    </w:p>
    <w:p w14:paraId="5A382A23" w14:textId="77777777" w:rsidR="001B5135" w:rsidRDefault="00FB0378">
      <w:pPr>
        <w:ind w:firstLine="709"/>
        <w:rPr>
          <w:rFonts w:eastAsiaTheme="minorEastAsia"/>
          <w:color w:val="000000" w:themeColor="text1"/>
          <w:lang w:eastAsia="en-US"/>
        </w:rPr>
      </w:pPr>
      <w:r>
        <w:t xml:space="preserve">у підпункті 3  </w:t>
      </w:r>
      <w:r>
        <w:rPr>
          <w:rFonts w:eastAsiaTheme="minorEastAsia"/>
          <w:color w:val="000000" w:themeColor="text1"/>
          <w:lang w:eastAsia="en-US"/>
        </w:rPr>
        <w:t xml:space="preserve">слово </w:t>
      </w:r>
      <w:r>
        <w:t>“інтегрований” замінити словом “узгоджений”.</w:t>
      </w:r>
    </w:p>
    <w:p w14:paraId="37B5723B" w14:textId="77777777" w:rsidR="001B5135" w:rsidRDefault="001B5135">
      <w:pPr>
        <w:ind w:firstLine="709"/>
        <w:rPr>
          <w:rFonts w:eastAsiaTheme="minorEastAsia"/>
          <w:color w:val="000000" w:themeColor="text1"/>
          <w:lang w:eastAsia="en-US"/>
        </w:rPr>
      </w:pPr>
    </w:p>
    <w:p w14:paraId="46EC2264" w14:textId="3D9D0471" w:rsidR="001B5135" w:rsidRDefault="00FB0378">
      <w:pPr>
        <w:ind w:firstLine="709"/>
      </w:pPr>
      <w:r>
        <w:rPr>
          <w:rFonts w:eastAsiaTheme="minorEastAsia"/>
          <w:color w:val="000000" w:themeColor="text1"/>
          <w:lang w:eastAsia="en-US"/>
        </w:rPr>
        <w:t>5. У колонці 4 рядка 2 таблиці додатк</w:t>
      </w:r>
      <w:r w:rsidR="00D41324">
        <w:rPr>
          <w:rFonts w:eastAsiaTheme="minorEastAsia"/>
          <w:color w:val="000000" w:themeColor="text1"/>
          <w:lang w:eastAsia="en-US"/>
        </w:rPr>
        <w:t>а</w:t>
      </w:r>
      <w:r>
        <w:rPr>
          <w:rFonts w:eastAsiaTheme="minorEastAsia"/>
          <w:color w:val="000000" w:themeColor="text1"/>
          <w:lang w:eastAsia="en-US"/>
        </w:rPr>
        <w:t xml:space="preserve"> 2 цифру, </w:t>
      </w:r>
      <w:r>
        <w:t>слова та літери “3. Коефіцієнт чистого стабільного фінансування (</w:t>
      </w:r>
      <w:r>
        <w:rPr>
          <w:lang w:val="en-US"/>
        </w:rPr>
        <w:t>NSFR</w:t>
      </w:r>
      <w:r>
        <w:t>)” виключити.</w:t>
      </w:r>
    </w:p>
    <w:p w14:paraId="78B3F072" w14:textId="77777777" w:rsidR="001B5135" w:rsidRDefault="001B5135">
      <w:pPr>
        <w:shd w:val="clear" w:color="auto" w:fill="FFFFFF"/>
        <w:jc w:val="center"/>
        <w:rPr>
          <w:color w:val="000000"/>
        </w:rPr>
      </w:pPr>
    </w:p>
    <w:sectPr w:rsidR="001B5135">
      <w:pgSz w:w="11906" w:h="16838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B8F7" w14:textId="77777777" w:rsidR="00343FB0" w:rsidRDefault="00343FB0">
      <w:r>
        <w:separator/>
      </w:r>
    </w:p>
  </w:endnote>
  <w:endnote w:type="continuationSeparator" w:id="0">
    <w:p w14:paraId="1ABC3FD4" w14:textId="77777777" w:rsidR="00343FB0" w:rsidRDefault="0034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4E0E" w14:textId="77777777" w:rsidR="001B5135" w:rsidRDefault="00FB0378">
    <w:pPr>
      <w:pStyle w:val="aa"/>
      <w:jc w:val="right"/>
      <w:rPr>
        <w:color w:val="FFFFFF" w:themeColor="background1"/>
      </w:rPr>
    </w:pPr>
    <w:r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E381" w14:textId="77777777" w:rsidR="00343FB0" w:rsidRDefault="00343FB0">
      <w:r>
        <w:separator/>
      </w:r>
    </w:p>
  </w:footnote>
  <w:footnote w:type="continuationSeparator" w:id="0">
    <w:p w14:paraId="44BC20DA" w14:textId="77777777" w:rsidR="00343FB0" w:rsidRDefault="0034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9334"/>
      <w:docPartObj>
        <w:docPartGallery w:val="AutoText"/>
      </w:docPartObj>
    </w:sdtPr>
    <w:sdtEndPr/>
    <w:sdtContent>
      <w:p w14:paraId="7529C350" w14:textId="77777777" w:rsidR="001B5135" w:rsidRDefault="00FB037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52A">
          <w:rPr>
            <w:noProof/>
          </w:rPr>
          <w:t>2</w:t>
        </w:r>
        <w:r>
          <w:fldChar w:fldCharType="end"/>
        </w:r>
      </w:p>
    </w:sdtContent>
  </w:sdt>
  <w:p w14:paraId="5E36BE89" w14:textId="77777777" w:rsidR="001B5135" w:rsidRDefault="001B513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37D"/>
    <w:multiLevelType w:val="multilevel"/>
    <w:tmpl w:val="0D4D737D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DB6E96"/>
    <w:multiLevelType w:val="multilevel"/>
    <w:tmpl w:val="55DB6E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54"/>
    <w:rsid w:val="000064FA"/>
    <w:rsid w:val="000069AF"/>
    <w:rsid w:val="00015CF3"/>
    <w:rsid w:val="00015FDE"/>
    <w:rsid w:val="000317BC"/>
    <w:rsid w:val="000320FE"/>
    <w:rsid w:val="0003331E"/>
    <w:rsid w:val="000342A5"/>
    <w:rsid w:val="0003793C"/>
    <w:rsid w:val="000543C6"/>
    <w:rsid w:val="000600A8"/>
    <w:rsid w:val="00061C1E"/>
    <w:rsid w:val="00061C52"/>
    <w:rsid w:val="00063480"/>
    <w:rsid w:val="000638F2"/>
    <w:rsid w:val="000678D3"/>
    <w:rsid w:val="000B088F"/>
    <w:rsid w:val="000B2990"/>
    <w:rsid w:val="000D45F6"/>
    <w:rsid w:val="000D778F"/>
    <w:rsid w:val="000E0CB3"/>
    <w:rsid w:val="000E5B8C"/>
    <w:rsid w:val="000E7A13"/>
    <w:rsid w:val="00101D5A"/>
    <w:rsid w:val="00106229"/>
    <w:rsid w:val="00107821"/>
    <w:rsid w:val="00113481"/>
    <w:rsid w:val="00115ECF"/>
    <w:rsid w:val="0012532A"/>
    <w:rsid w:val="00130E0A"/>
    <w:rsid w:val="0013633D"/>
    <w:rsid w:val="001631E2"/>
    <w:rsid w:val="001716B0"/>
    <w:rsid w:val="001740C0"/>
    <w:rsid w:val="001847A3"/>
    <w:rsid w:val="00190BA5"/>
    <w:rsid w:val="00190E1A"/>
    <w:rsid w:val="001A0C9E"/>
    <w:rsid w:val="001A0EE5"/>
    <w:rsid w:val="001A16FA"/>
    <w:rsid w:val="001A4CB9"/>
    <w:rsid w:val="001A6795"/>
    <w:rsid w:val="001B5135"/>
    <w:rsid w:val="001C206C"/>
    <w:rsid w:val="001C7B16"/>
    <w:rsid w:val="001D296C"/>
    <w:rsid w:val="001D468B"/>
    <w:rsid w:val="001D487A"/>
    <w:rsid w:val="001F481E"/>
    <w:rsid w:val="001F7083"/>
    <w:rsid w:val="002238D1"/>
    <w:rsid w:val="002278E9"/>
    <w:rsid w:val="00233691"/>
    <w:rsid w:val="00233F37"/>
    <w:rsid w:val="00241373"/>
    <w:rsid w:val="00245C92"/>
    <w:rsid w:val="00251AFA"/>
    <w:rsid w:val="00253BF9"/>
    <w:rsid w:val="00264983"/>
    <w:rsid w:val="00266678"/>
    <w:rsid w:val="00276988"/>
    <w:rsid w:val="00280DCC"/>
    <w:rsid w:val="00285DDA"/>
    <w:rsid w:val="00290169"/>
    <w:rsid w:val="002918E8"/>
    <w:rsid w:val="002A2391"/>
    <w:rsid w:val="002A7F82"/>
    <w:rsid w:val="002B351E"/>
    <w:rsid w:val="002B3F71"/>
    <w:rsid w:val="002B4855"/>
    <w:rsid w:val="002B582B"/>
    <w:rsid w:val="002B63E8"/>
    <w:rsid w:val="002C1FDB"/>
    <w:rsid w:val="002D1790"/>
    <w:rsid w:val="002E3E61"/>
    <w:rsid w:val="002F48EF"/>
    <w:rsid w:val="00332701"/>
    <w:rsid w:val="003349E3"/>
    <w:rsid w:val="00337368"/>
    <w:rsid w:val="00340D07"/>
    <w:rsid w:val="00343FB0"/>
    <w:rsid w:val="00344CA7"/>
    <w:rsid w:val="00345982"/>
    <w:rsid w:val="00356E34"/>
    <w:rsid w:val="00357676"/>
    <w:rsid w:val="003705D4"/>
    <w:rsid w:val="00380BD7"/>
    <w:rsid w:val="0038385E"/>
    <w:rsid w:val="00384F65"/>
    <w:rsid w:val="00385DF9"/>
    <w:rsid w:val="00393C6F"/>
    <w:rsid w:val="0039725C"/>
    <w:rsid w:val="003A16E7"/>
    <w:rsid w:val="003A2BD0"/>
    <w:rsid w:val="003A6E53"/>
    <w:rsid w:val="003A751F"/>
    <w:rsid w:val="003C045D"/>
    <w:rsid w:val="003C3282"/>
    <w:rsid w:val="003C3985"/>
    <w:rsid w:val="003C3B5E"/>
    <w:rsid w:val="003D3CA1"/>
    <w:rsid w:val="003D6B33"/>
    <w:rsid w:val="003D7266"/>
    <w:rsid w:val="003F0441"/>
    <w:rsid w:val="003F28B5"/>
    <w:rsid w:val="003F46F5"/>
    <w:rsid w:val="003F7064"/>
    <w:rsid w:val="003F7093"/>
    <w:rsid w:val="003F7516"/>
    <w:rsid w:val="00401EDB"/>
    <w:rsid w:val="00404C93"/>
    <w:rsid w:val="00407877"/>
    <w:rsid w:val="004130B9"/>
    <w:rsid w:val="0042730C"/>
    <w:rsid w:val="0042752A"/>
    <w:rsid w:val="00427637"/>
    <w:rsid w:val="00445604"/>
    <w:rsid w:val="00446704"/>
    <w:rsid w:val="00446EC5"/>
    <w:rsid w:val="00455B45"/>
    <w:rsid w:val="00460BA2"/>
    <w:rsid w:val="004666D6"/>
    <w:rsid w:val="00474244"/>
    <w:rsid w:val="004854B6"/>
    <w:rsid w:val="00487FB1"/>
    <w:rsid w:val="004A1CFC"/>
    <w:rsid w:val="004A7F75"/>
    <w:rsid w:val="004B1FE9"/>
    <w:rsid w:val="004B497B"/>
    <w:rsid w:val="004B5574"/>
    <w:rsid w:val="004D03FE"/>
    <w:rsid w:val="004D2B57"/>
    <w:rsid w:val="004E22E2"/>
    <w:rsid w:val="004F262C"/>
    <w:rsid w:val="004F7FEC"/>
    <w:rsid w:val="00505164"/>
    <w:rsid w:val="0050563F"/>
    <w:rsid w:val="005212C5"/>
    <w:rsid w:val="00523C13"/>
    <w:rsid w:val="00524F07"/>
    <w:rsid w:val="005257C2"/>
    <w:rsid w:val="00532633"/>
    <w:rsid w:val="00537D27"/>
    <w:rsid w:val="005403F1"/>
    <w:rsid w:val="0054121C"/>
    <w:rsid w:val="00542533"/>
    <w:rsid w:val="00544BF2"/>
    <w:rsid w:val="00547BB7"/>
    <w:rsid w:val="00551922"/>
    <w:rsid w:val="005624B6"/>
    <w:rsid w:val="00562C46"/>
    <w:rsid w:val="00565782"/>
    <w:rsid w:val="0057237F"/>
    <w:rsid w:val="00575C91"/>
    <w:rsid w:val="00577402"/>
    <w:rsid w:val="005822CB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FA8"/>
    <w:rsid w:val="005F4CB4"/>
    <w:rsid w:val="0061067C"/>
    <w:rsid w:val="006247C4"/>
    <w:rsid w:val="00627DA1"/>
    <w:rsid w:val="0063675F"/>
    <w:rsid w:val="00640612"/>
    <w:rsid w:val="0064227D"/>
    <w:rsid w:val="0065179F"/>
    <w:rsid w:val="00657593"/>
    <w:rsid w:val="0065781D"/>
    <w:rsid w:val="00665DBF"/>
    <w:rsid w:val="00670C95"/>
    <w:rsid w:val="00686049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31B81"/>
    <w:rsid w:val="00736C3D"/>
    <w:rsid w:val="00736C98"/>
    <w:rsid w:val="007435D2"/>
    <w:rsid w:val="00747222"/>
    <w:rsid w:val="00750898"/>
    <w:rsid w:val="007638D0"/>
    <w:rsid w:val="00773559"/>
    <w:rsid w:val="0078127A"/>
    <w:rsid w:val="00783AF2"/>
    <w:rsid w:val="00787E46"/>
    <w:rsid w:val="007A6609"/>
    <w:rsid w:val="007B4DF4"/>
    <w:rsid w:val="007B7B73"/>
    <w:rsid w:val="007C2CED"/>
    <w:rsid w:val="007D17B5"/>
    <w:rsid w:val="00800A1B"/>
    <w:rsid w:val="00802988"/>
    <w:rsid w:val="008349EC"/>
    <w:rsid w:val="00836735"/>
    <w:rsid w:val="008415A0"/>
    <w:rsid w:val="0085364B"/>
    <w:rsid w:val="00861722"/>
    <w:rsid w:val="00866993"/>
    <w:rsid w:val="00874366"/>
    <w:rsid w:val="008762D8"/>
    <w:rsid w:val="0088719C"/>
    <w:rsid w:val="00897035"/>
    <w:rsid w:val="008A1AEE"/>
    <w:rsid w:val="008B1589"/>
    <w:rsid w:val="008B74DD"/>
    <w:rsid w:val="008C72B5"/>
    <w:rsid w:val="008D10FD"/>
    <w:rsid w:val="008D122F"/>
    <w:rsid w:val="008D5F60"/>
    <w:rsid w:val="008D727F"/>
    <w:rsid w:val="008D72B0"/>
    <w:rsid w:val="008D79EB"/>
    <w:rsid w:val="008E600F"/>
    <w:rsid w:val="008F0210"/>
    <w:rsid w:val="008F2600"/>
    <w:rsid w:val="008F5D52"/>
    <w:rsid w:val="00904F17"/>
    <w:rsid w:val="00922966"/>
    <w:rsid w:val="0092710A"/>
    <w:rsid w:val="0093768F"/>
    <w:rsid w:val="00937AE3"/>
    <w:rsid w:val="00937D24"/>
    <w:rsid w:val="00943175"/>
    <w:rsid w:val="00950154"/>
    <w:rsid w:val="0095741D"/>
    <w:rsid w:val="00967EF7"/>
    <w:rsid w:val="0097288F"/>
    <w:rsid w:val="0098207E"/>
    <w:rsid w:val="00990AAE"/>
    <w:rsid w:val="00994C42"/>
    <w:rsid w:val="00997A27"/>
    <w:rsid w:val="009A5FEC"/>
    <w:rsid w:val="009B6120"/>
    <w:rsid w:val="009C2F76"/>
    <w:rsid w:val="009E721C"/>
    <w:rsid w:val="009F0F54"/>
    <w:rsid w:val="009F36F6"/>
    <w:rsid w:val="009F5312"/>
    <w:rsid w:val="00A02AEC"/>
    <w:rsid w:val="00A0594A"/>
    <w:rsid w:val="00A05BEE"/>
    <w:rsid w:val="00A12C47"/>
    <w:rsid w:val="00A235C5"/>
    <w:rsid w:val="00A23E04"/>
    <w:rsid w:val="00A268CC"/>
    <w:rsid w:val="00A46C15"/>
    <w:rsid w:val="00A50DC0"/>
    <w:rsid w:val="00A530EB"/>
    <w:rsid w:val="00A63695"/>
    <w:rsid w:val="00A672B2"/>
    <w:rsid w:val="00A726E9"/>
    <w:rsid w:val="00A72F06"/>
    <w:rsid w:val="00A730F2"/>
    <w:rsid w:val="00A77FFD"/>
    <w:rsid w:val="00A8363B"/>
    <w:rsid w:val="00AB4554"/>
    <w:rsid w:val="00AB7865"/>
    <w:rsid w:val="00AC47B6"/>
    <w:rsid w:val="00AC5A18"/>
    <w:rsid w:val="00AD7DF9"/>
    <w:rsid w:val="00AE29BB"/>
    <w:rsid w:val="00AE2CAF"/>
    <w:rsid w:val="00AF33D9"/>
    <w:rsid w:val="00B002E4"/>
    <w:rsid w:val="00B12DF9"/>
    <w:rsid w:val="00B238D7"/>
    <w:rsid w:val="00B27AE7"/>
    <w:rsid w:val="00B332B2"/>
    <w:rsid w:val="00B34CCC"/>
    <w:rsid w:val="00B36EC7"/>
    <w:rsid w:val="00B36EDD"/>
    <w:rsid w:val="00B47A39"/>
    <w:rsid w:val="00B56200"/>
    <w:rsid w:val="00B61C97"/>
    <w:rsid w:val="00B628C5"/>
    <w:rsid w:val="00B71933"/>
    <w:rsid w:val="00B8078D"/>
    <w:rsid w:val="00B90452"/>
    <w:rsid w:val="00BD12A3"/>
    <w:rsid w:val="00BD7F6E"/>
    <w:rsid w:val="00BF47B0"/>
    <w:rsid w:val="00BF5327"/>
    <w:rsid w:val="00C175D4"/>
    <w:rsid w:val="00C21D33"/>
    <w:rsid w:val="00C3382F"/>
    <w:rsid w:val="00C4377C"/>
    <w:rsid w:val="00C47E11"/>
    <w:rsid w:val="00C47F0F"/>
    <w:rsid w:val="00C51D84"/>
    <w:rsid w:val="00C52506"/>
    <w:rsid w:val="00C61999"/>
    <w:rsid w:val="00C81A2D"/>
    <w:rsid w:val="00C82259"/>
    <w:rsid w:val="00C84324"/>
    <w:rsid w:val="00C91F01"/>
    <w:rsid w:val="00C9223A"/>
    <w:rsid w:val="00C9297C"/>
    <w:rsid w:val="00C94014"/>
    <w:rsid w:val="00C9514F"/>
    <w:rsid w:val="00CA0601"/>
    <w:rsid w:val="00CA767B"/>
    <w:rsid w:val="00CB0A99"/>
    <w:rsid w:val="00CB5A09"/>
    <w:rsid w:val="00CC7293"/>
    <w:rsid w:val="00CD0CD4"/>
    <w:rsid w:val="00CD31C3"/>
    <w:rsid w:val="00CE3B9F"/>
    <w:rsid w:val="00CF1FB8"/>
    <w:rsid w:val="00CF2C65"/>
    <w:rsid w:val="00CF5020"/>
    <w:rsid w:val="00D00120"/>
    <w:rsid w:val="00D01C4C"/>
    <w:rsid w:val="00D0248F"/>
    <w:rsid w:val="00D0562A"/>
    <w:rsid w:val="00D078B6"/>
    <w:rsid w:val="00D1022C"/>
    <w:rsid w:val="00D20497"/>
    <w:rsid w:val="00D27115"/>
    <w:rsid w:val="00D31505"/>
    <w:rsid w:val="00D33D58"/>
    <w:rsid w:val="00D34DCC"/>
    <w:rsid w:val="00D41324"/>
    <w:rsid w:val="00D46BE1"/>
    <w:rsid w:val="00D61D9B"/>
    <w:rsid w:val="00D645FA"/>
    <w:rsid w:val="00D67E42"/>
    <w:rsid w:val="00D70563"/>
    <w:rsid w:val="00D76305"/>
    <w:rsid w:val="00DA2F09"/>
    <w:rsid w:val="00DC1E60"/>
    <w:rsid w:val="00DC7767"/>
    <w:rsid w:val="00DD1EF3"/>
    <w:rsid w:val="00DD2FBA"/>
    <w:rsid w:val="00DD4374"/>
    <w:rsid w:val="00DD60CC"/>
    <w:rsid w:val="00DE19CE"/>
    <w:rsid w:val="00DF0105"/>
    <w:rsid w:val="00DF1BED"/>
    <w:rsid w:val="00DF4D12"/>
    <w:rsid w:val="00E10AE2"/>
    <w:rsid w:val="00E10F0A"/>
    <w:rsid w:val="00E21875"/>
    <w:rsid w:val="00E25407"/>
    <w:rsid w:val="00E32599"/>
    <w:rsid w:val="00E33B0E"/>
    <w:rsid w:val="00E36BD5"/>
    <w:rsid w:val="00E42621"/>
    <w:rsid w:val="00E446A6"/>
    <w:rsid w:val="00E5023B"/>
    <w:rsid w:val="00E53CB5"/>
    <w:rsid w:val="00E53CCD"/>
    <w:rsid w:val="00E548B2"/>
    <w:rsid w:val="00E55730"/>
    <w:rsid w:val="00E62607"/>
    <w:rsid w:val="00E6592D"/>
    <w:rsid w:val="00E71855"/>
    <w:rsid w:val="00E719A9"/>
    <w:rsid w:val="00E71DF8"/>
    <w:rsid w:val="00E72EEA"/>
    <w:rsid w:val="00EA1DE4"/>
    <w:rsid w:val="00EA60EA"/>
    <w:rsid w:val="00EB1807"/>
    <w:rsid w:val="00EB29BF"/>
    <w:rsid w:val="00EC7C7F"/>
    <w:rsid w:val="00EE21FF"/>
    <w:rsid w:val="00EF4B42"/>
    <w:rsid w:val="00F003D3"/>
    <w:rsid w:val="00F008AB"/>
    <w:rsid w:val="00F03E32"/>
    <w:rsid w:val="00F13290"/>
    <w:rsid w:val="00F23CF1"/>
    <w:rsid w:val="00F3491F"/>
    <w:rsid w:val="00F403A7"/>
    <w:rsid w:val="00F42289"/>
    <w:rsid w:val="00F429C7"/>
    <w:rsid w:val="00F42B21"/>
    <w:rsid w:val="00F42E75"/>
    <w:rsid w:val="00F432AA"/>
    <w:rsid w:val="00F45392"/>
    <w:rsid w:val="00F45D65"/>
    <w:rsid w:val="00F517FA"/>
    <w:rsid w:val="00F52D16"/>
    <w:rsid w:val="00F62314"/>
    <w:rsid w:val="00F62D67"/>
    <w:rsid w:val="00F63BD9"/>
    <w:rsid w:val="00F6694C"/>
    <w:rsid w:val="00F73C2A"/>
    <w:rsid w:val="00F80656"/>
    <w:rsid w:val="00F8145F"/>
    <w:rsid w:val="00F9065A"/>
    <w:rsid w:val="00F9283D"/>
    <w:rsid w:val="00F96F18"/>
    <w:rsid w:val="00FA508E"/>
    <w:rsid w:val="00FA5320"/>
    <w:rsid w:val="00FA7846"/>
    <w:rsid w:val="00FB0378"/>
    <w:rsid w:val="00FC26E5"/>
    <w:rsid w:val="00FD154E"/>
    <w:rsid w:val="00FD19F1"/>
    <w:rsid w:val="00FD370F"/>
    <w:rsid w:val="00FD5BD1"/>
    <w:rsid w:val="00FE0B90"/>
    <w:rsid w:val="00FF4C41"/>
    <w:rsid w:val="00FF59CC"/>
    <w:rsid w:val="5C3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81B2C"/>
  <w15:docId w15:val="{32387139-BC6C-4276-A8CA-4297124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720"/>
      <w:jc w:val="right"/>
      <w:outlineLvl w:val="5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styleId="ac">
    <w:name w:val="footnote reference"/>
    <w:uiPriority w:val="99"/>
    <w:qFormat/>
    <w:rPr>
      <w:vertAlign w:val="superscript"/>
    </w:rPr>
  </w:style>
  <w:style w:type="paragraph" w:styleId="ad">
    <w:name w:val="header"/>
    <w:basedOn w:val="a"/>
    <w:link w:val="ae"/>
    <w:uiPriority w:val="99"/>
    <w:unhideWhenUsed/>
    <w:pPr>
      <w:tabs>
        <w:tab w:val="center" w:pos="4819"/>
        <w:tab w:val="right" w:pos="9639"/>
      </w:tabs>
    </w:pPr>
  </w:style>
  <w:style w:type="paragraph" w:styleId="af">
    <w:name w:val="Salutation"/>
    <w:basedOn w:val="af0"/>
    <w:next w:val="a"/>
    <w:link w:val="af1"/>
    <w:uiPriority w:val="6"/>
    <w:unhideWhenUsed/>
    <w:qFormat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0">
    <w:name w:val="No Spacing"/>
    <w:link w:val="af2"/>
    <w:uiPriority w:val="1"/>
    <w:qFormat/>
    <w:pPr>
      <w:jc w:val="both"/>
    </w:pPr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uiPriority w:val="10"/>
    <w:qFormat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af5">
    <w:name w:val="Заголовок Знак"/>
    <w:basedOn w:val="a0"/>
    <w:link w:val="af4"/>
    <w:uiPriority w:val="10"/>
    <w:locked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b">
    <w:name w:val="Нижний колонтитул Знак"/>
    <w:basedOn w:val="a0"/>
    <w:link w:val="aa"/>
    <w:uiPriority w:val="99"/>
    <w:qFormat/>
    <w:locked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f6">
    <w:name w:val="Обратный адрес"/>
    <w:basedOn w:val="af0"/>
    <w:uiPriority w:val="3"/>
    <w:qFormat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  <w:lang w:eastAsia="uk-UA"/>
    </w:rPr>
  </w:style>
  <w:style w:type="character" w:styleId="af7">
    <w:name w:val="Placeholder Text"/>
    <w:basedOn w:val="a0"/>
    <w:uiPriority w:val="99"/>
    <w:semiHidden/>
    <w:qFormat/>
    <w:rPr>
      <w:rFonts w:cs="Times New Roman"/>
      <w:color w:val="808080"/>
    </w:rPr>
  </w:style>
  <w:style w:type="paragraph" w:customStyle="1" w:styleId="af8">
    <w:name w:val="Текст даты"/>
    <w:basedOn w:val="a"/>
    <w:uiPriority w:val="3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f1">
    <w:name w:val="Приветствие Знак"/>
    <w:basedOn w:val="a0"/>
    <w:link w:val="af"/>
    <w:uiPriority w:val="6"/>
    <w:rPr>
      <w:rFonts w:eastAsiaTheme="minorEastAsia" w:cstheme="minorBidi"/>
      <w:b/>
      <w:bCs/>
      <w:color w:val="000000" w:themeColor="text1"/>
      <w:lang w:val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af2">
    <w:name w:val="Без интервала Знак"/>
    <w:basedOn w:val="a0"/>
    <w:link w:val="af0"/>
    <w:uiPriority w:val="1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60">
    <w:name w:val="Заголовок 6 Знак"/>
    <w:basedOn w:val="a0"/>
    <w:link w:val="6"/>
    <w:uiPriority w:val="9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ECA17BB-D44F-4FB1-9D9E-20AC0BF9C8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Сасюк Тетяна Сергіївна</dc:creator>
  <cp:lastModifiedBy>Таня</cp:lastModifiedBy>
  <cp:revision>4</cp:revision>
  <cp:lastPrinted>2021-11-18T07:49:00Z</cp:lastPrinted>
  <dcterms:created xsi:type="dcterms:W3CDTF">2021-11-22T14:14:00Z</dcterms:created>
  <dcterms:modified xsi:type="dcterms:W3CDTF">2021-11-22T14:32:00Z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  <property fmtid="{D5CDD505-2E9C-101B-9397-08002B2CF9AE}" pid="3" name="KSOProductBuildVer">
    <vt:lpwstr>1033-11.2.0.10382</vt:lpwstr>
  </property>
  <property fmtid="{D5CDD505-2E9C-101B-9397-08002B2CF9AE}" pid="4" name="ICV">
    <vt:lpwstr>8567E25180AB4A7D9DD8EC6BBB855274</vt:lpwstr>
  </property>
</Properties>
</file>