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34F9D" w14:textId="01B07793" w:rsidR="00FA7846" w:rsidRPr="00CD0CD4" w:rsidRDefault="009A60B0" w:rsidP="00FA7846">
      <w:pPr>
        <w:rPr>
          <w:sz w:val="2"/>
          <w:szCs w:val="2"/>
        </w:rPr>
      </w:pPr>
      <w:proofErr w:type="spellStart"/>
      <w:r>
        <w:rPr>
          <w:sz w:val="2"/>
          <w:szCs w:val="2"/>
        </w:rPr>
        <w:t>Офіцінйо</w:t>
      </w:r>
      <w:proofErr w:type="spellEnd"/>
      <w:r>
        <w:rPr>
          <w:sz w:val="2"/>
          <w:szCs w:val="2"/>
        </w:rPr>
        <w:t xml:space="preserve"> </w:t>
      </w:r>
    </w:p>
    <w:p w14:paraId="4BD22C3A" w14:textId="77777777"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657593" w14:paraId="6307137F" w14:textId="77777777" w:rsidTr="00E054A9">
        <w:trPr>
          <w:trHeight w:val="851"/>
        </w:trPr>
        <w:tc>
          <w:tcPr>
            <w:tcW w:w="3284" w:type="dxa"/>
          </w:tcPr>
          <w:p w14:paraId="58F78004" w14:textId="77777777" w:rsidR="00657593" w:rsidRDefault="00657593" w:rsidP="00E054A9"/>
        </w:tc>
        <w:tc>
          <w:tcPr>
            <w:tcW w:w="3285" w:type="dxa"/>
            <w:vMerge w:val="restart"/>
          </w:tcPr>
          <w:p w14:paraId="29F6F637" w14:textId="77777777" w:rsidR="00657593" w:rsidRDefault="00657593" w:rsidP="00E054A9">
            <w:pPr>
              <w:jc w:val="center"/>
            </w:pPr>
            <w:r>
              <w:object w:dxaOrig="1595" w:dyaOrig="2201" w14:anchorId="62FF7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6pt" o:ole="">
                  <v:imagedata r:id="rId12" o:title=""/>
                </v:shape>
                <o:OLEObject Type="Embed" ProgID="CorelDraw.Graphic.16" ShapeID="_x0000_i1025" DrawAspect="Content" ObjectID="_1746377927" r:id="rId13"/>
              </w:object>
            </w:r>
          </w:p>
        </w:tc>
        <w:tc>
          <w:tcPr>
            <w:tcW w:w="3285" w:type="dxa"/>
          </w:tcPr>
          <w:p w14:paraId="025070E1" w14:textId="77777777" w:rsidR="00657593" w:rsidRDefault="00657593" w:rsidP="00E054A9"/>
        </w:tc>
      </w:tr>
      <w:tr w:rsidR="00657593" w14:paraId="132EFD08" w14:textId="77777777" w:rsidTr="00E054A9">
        <w:tc>
          <w:tcPr>
            <w:tcW w:w="3284" w:type="dxa"/>
          </w:tcPr>
          <w:p w14:paraId="2183CBFA" w14:textId="77777777" w:rsidR="00657593" w:rsidRDefault="00657593" w:rsidP="00E054A9"/>
        </w:tc>
        <w:tc>
          <w:tcPr>
            <w:tcW w:w="3285" w:type="dxa"/>
            <w:vMerge/>
          </w:tcPr>
          <w:p w14:paraId="58350252" w14:textId="77777777" w:rsidR="00657593" w:rsidRDefault="00657593" w:rsidP="00E054A9"/>
        </w:tc>
        <w:tc>
          <w:tcPr>
            <w:tcW w:w="3285" w:type="dxa"/>
          </w:tcPr>
          <w:p w14:paraId="04A6EF17" w14:textId="77777777" w:rsidR="00657593" w:rsidRDefault="00657593" w:rsidP="00E054A9"/>
        </w:tc>
      </w:tr>
      <w:tr w:rsidR="00657593" w14:paraId="34BF0B1E" w14:textId="77777777" w:rsidTr="00E054A9">
        <w:tc>
          <w:tcPr>
            <w:tcW w:w="9854" w:type="dxa"/>
            <w:gridSpan w:val="3"/>
          </w:tcPr>
          <w:p w14:paraId="0CADCDD0" w14:textId="77777777" w:rsidR="00657593" w:rsidRPr="00E10F0A" w:rsidRDefault="00657593"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02BD56FE" w14:textId="77777777" w:rsidR="00657593" w:rsidRDefault="00657593" w:rsidP="00E054A9">
            <w:pPr>
              <w:jc w:val="center"/>
            </w:pPr>
            <w:r w:rsidRPr="00E10F0A">
              <w:rPr>
                <w:b/>
                <w:bCs/>
                <w:color w:val="006600"/>
                <w:sz w:val="32"/>
                <w:szCs w:val="32"/>
              </w:rPr>
              <w:t>П О С Т А Н О В А</w:t>
            </w:r>
          </w:p>
        </w:tc>
      </w:tr>
    </w:tbl>
    <w:p w14:paraId="201A4443"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2632"/>
        <w:gridCol w:w="1674"/>
        <w:gridCol w:w="1902"/>
      </w:tblGrid>
      <w:tr w:rsidR="00657593" w14:paraId="78AA4D95" w14:textId="77777777" w:rsidTr="0076356A">
        <w:tc>
          <w:tcPr>
            <w:tcW w:w="3510" w:type="dxa"/>
            <w:vAlign w:val="bottom"/>
          </w:tcPr>
          <w:p w14:paraId="2AB977F6" w14:textId="39344B37" w:rsidR="00657593" w:rsidRPr="00566BA2" w:rsidRDefault="009A60B0" w:rsidP="00E054A9">
            <w:r>
              <w:t>23 травня 2023 року</w:t>
            </w:r>
          </w:p>
        </w:tc>
        <w:tc>
          <w:tcPr>
            <w:tcW w:w="2694" w:type="dxa"/>
          </w:tcPr>
          <w:p w14:paraId="283BE5FF" w14:textId="77777777" w:rsidR="00657593" w:rsidRDefault="00657593" w:rsidP="007712EF">
            <w:pPr>
              <w:spacing w:before="240"/>
              <w:jc w:val="center"/>
            </w:pPr>
            <w:r w:rsidRPr="00E10F0A">
              <w:rPr>
                <w:color w:val="006600"/>
              </w:rPr>
              <w:t>Київ</w:t>
            </w:r>
          </w:p>
        </w:tc>
        <w:tc>
          <w:tcPr>
            <w:tcW w:w="1713" w:type="dxa"/>
            <w:vAlign w:val="bottom"/>
          </w:tcPr>
          <w:p w14:paraId="1CF32202" w14:textId="77777777" w:rsidR="00657593" w:rsidRPr="008274C0" w:rsidRDefault="008274C0" w:rsidP="00E62607">
            <w:pPr>
              <w:jc w:val="right"/>
              <w:rPr>
                <w:lang w:val="en-US"/>
              </w:rPr>
            </w:pPr>
            <w:r w:rsidRPr="008274C0">
              <w:rPr>
                <w:color w:val="FFFFFF" w:themeColor="background1"/>
              </w:rPr>
              <w:t>№</w:t>
            </w:r>
          </w:p>
        </w:tc>
        <w:tc>
          <w:tcPr>
            <w:tcW w:w="1937" w:type="dxa"/>
            <w:vAlign w:val="bottom"/>
          </w:tcPr>
          <w:p w14:paraId="366C6D4F" w14:textId="4DBD0776" w:rsidR="00657593" w:rsidRDefault="009A60B0" w:rsidP="00290169">
            <w:pPr>
              <w:jc w:val="left"/>
            </w:pPr>
            <w:r>
              <w:t>№ 70</w:t>
            </w:r>
          </w:p>
        </w:tc>
      </w:tr>
    </w:tbl>
    <w:p w14:paraId="386F3DD2" w14:textId="77777777" w:rsidR="00657593" w:rsidRPr="00CD0CD4" w:rsidRDefault="00657593" w:rsidP="00657593">
      <w:pPr>
        <w:rPr>
          <w:sz w:val="2"/>
          <w:szCs w:val="2"/>
        </w:rPr>
      </w:pPr>
    </w:p>
    <w:p w14:paraId="1EA38253" w14:textId="77777777" w:rsidR="00E42621" w:rsidRPr="00CD0CD4"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CD0CD4" w14:paraId="731E4C49" w14:textId="77777777" w:rsidTr="005212C5">
        <w:trPr>
          <w:jc w:val="center"/>
        </w:trPr>
        <w:tc>
          <w:tcPr>
            <w:tcW w:w="5000" w:type="pct"/>
          </w:tcPr>
          <w:p w14:paraId="01CB6640" w14:textId="77777777" w:rsidR="002B3F71" w:rsidRPr="00CD0CD4" w:rsidRDefault="008E0036" w:rsidP="00106229">
            <w:pPr>
              <w:tabs>
                <w:tab w:val="left" w:pos="840"/>
                <w:tab w:val="center" w:pos="3293"/>
              </w:tabs>
              <w:spacing w:before="240" w:after="240"/>
              <w:jc w:val="center"/>
              <w:rPr>
                <w:rFonts w:eastAsiaTheme="minorEastAsia"/>
                <w:color w:val="000000" w:themeColor="text1"/>
                <w:lang w:eastAsia="en-US"/>
              </w:rPr>
            </w:pPr>
            <w:r w:rsidRPr="008E0036">
              <w:rPr>
                <w:rFonts w:eastAsiaTheme="minorEastAsia"/>
                <w:color w:val="000000" w:themeColor="text1"/>
                <w:lang w:eastAsia="en-US"/>
              </w:rPr>
              <w:t>Про внесення змін до Тарифів на депозитарні послуги (операції), що надаються (здійснюються)</w:t>
            </w:r>
            <w:r w:rsidR="00E20050">
              <w:rPr>
                <w:rFonts w:eastAsiaTheme="minorEastAsia"/>
                <w:color w:val="000000" w:themeColor="text1"/>
                <w:lang w:eastAsia="en-US"/>
              </w:rPr>
              <w:t xml:space="preserve"> Національним банком України</w:t>
            </w:r>
            <w:r w:rsidRPr="008E0036">
              <w:rPr>
                <w:rFonts w:eastAsiaTheme="minorEastAsia"/>
                <w:color w:val="000000" w:themeColor="text1"/>
                <w:lang w:eastAsia="en-US"/>
              </w:rPr>
              <w:t>, а також на послуги щодо обліку і обігу депозитних сертифікатів Національного банку України</w:t>
            </w:r>
          </w:p>
        </w:tc>
      </w:tr>
    </w:tbl>
    <w:p w14:paraId="6C617EB6" w14:textId="4458887F" w:rsidR="00E53CCD" w:rsidRDefault="008E0036" w:rsidP="005F4548">
      <w:pPr>
        <w:spacing w:before="240" w:after="240"/>
        <w:ind w:firstLine="567"/>
        <w:rPr>
          <w:b/>
        </w:rPr>
      </w:pPr>
      <w:r w:rsidRPr="008E0036">
        <w:rPr>
          <w:rFonts w:eastAsiaTheme="minorEastAsia"/>
          <w:color w:val="000000" w:themeColor="text1"/>
          <w:lang w:eastAsia="en-US"/>
        </w:rPr>
        <w:t>Відповідно до статей 7, 15, 42, 56 Закону України “Про Національний банк України”, з метою оптимізації та актуалізації переліку послуг (операцій), що надаються (здійснюються) Національним банком України у сфері депозитарної діяльності Національного банку України, перегляду тарифів на депозитарні послуги (операції), що надаються (здійснюються) Національним банком України, а також на послуги щодо обігу та обліку депозитних сертифікатів Національного банку України</w:t>
      </w:r>
      <w:r w:rsidR="00FA508E" w:rsidRPr="002614EF">
        <w:t xml:space="preserve"> </w:t>
      </w:r>
      <w:r w:rsidR="00115ECF" w:rsidRPr="00CD0CD4">
        <w:t xml:space="preserve">Правління Національного банку </w:t>
      </w:r>
      <w:r w:rsidR="00562C46" w:rsidRPr="00CD0CD4">
        <w:t>України</w:t>
      </w:r>
      <w:r w:rsidR="00562C46" w:rsidRPr="00CD0CD4">
        <w:rPr>
          <w:b/>
        </w:rPr>
        <w:t xml:space="preserve"> </w:t>
      </w:r>
      <w:r w:rsidR="00FA508E" w:rsidRPr="00CD0CD4">
        <w:rPr>
          <w:b/>
        </w:rPr>
        <w:t>постановляє:</w:t>
      </w:r>
    </w:p>
    <w:p w14:paraId="7346F623" w14:textId="4CFFE50A" w:rsidR="00AD7DF9" w:rsidRDefault="00AD7DF9" w:rsidP="005F4548">
      <w:pPr>
        <w:spacing w:before="240" w:after="240"/>
        <w:ind w:firstLine="567"/>
        <w:rPr>
          <w:rFonts w:eastAsiaTheme="minorEastAsia"/>
          <w:noProof/>
          <w:color w:val="000000" w:themeColor="text1"/>
          <w:lang w:eastAsia="en-US"/>
        </w:rPr>
      </w:pPr>
      <w:r w:rsidRPr="008B1589">
        <w:rPr>
          <w:lang w:val="ru-RU"/>
        </w:rPr>
        <w:t>1.</w:t>
      </w:r>
      <w:r>
        <w:rPr>
          <w:lang w:val="en-US"/>
        </w:rPr>
        <w:t> </w:t>
      </w:r>
      <w:r w:rsidR="003A3339">
        <w:t xml:space="preserve">Унести </w:t>
      </w:r>
      <w:r w:rsidR="008E0036" w:rsidRPr="008E0036">
        <w:rPr>
          <w:rFonts w:eastAsiaTheme="minorEastAsia"/>
          <w:noProof/>
          <w:color w:val="000000" w:themeColor="text1"/>
          <w:lang w:eastAsia="en-US"/>
        </w:rPr>
        <w:t xml:space="preserve">зміни до Тарифів на депозитарні послуги (операції), що надаються (здійснюються) Національним банком України, а також на послуги щодо обліку </w:t>
      </w:r>
      <w:r w:rsidR="00DD0277">
        <w:rPr>
          <w:rFonts w:eastAsiaTheme="minorEastAsia"/>
          <w:noProof/>
          <w:color w:val="000000" w:themeColor="text1"/>
          <w:lang w:eastAsia="en-US"/>
        </w:rPr>
        <w:t>і</w:t>
      </w:r>
      <w:r w:rsidR="008E0036" w:rsidRPr="008E0036">
        <w:rPr>
          <w:rFonts w:eastAsiaTheme="minorEastAsia"/>
          <w:noProof/>
          <w:color w:val="000000" w:themeColor="text1"/>
          <w:lang w:eastAsia="en-US"/>
        </w:rPr>
        <w:t xml:space="preserve"> обігу депозитних сертифікатів Національного банку України, затверджених постановою Правління Національного банку України від 12 серпня 2003 року №</w:t>
      </w:r>
      <w:r w:rsidR="00B46BFD">
        <w:rPr>
          <w:rFonts w:eastAsiaTheme="minorEastAsia"/>
          <w:noProof/>
          <w:color w:val="000000" w:themeColor="text1"/>
          <w:lang w:eastAsia="en-US"/>
        </w:rPr>
        <w:t> </w:t>
      </w:r>
      <w:r w:rsidR="008E0036" w:rsidRPr="008E0036">
        <w:rPr>
          <w:rFonts w:eastAsiaTheme="minorEastAsia"/>
          <w:noProof/>
          <w:color w:val="000000" w:themeColor="text1"/>
          <w:lang w:eastAsia="en-US"/>
        </w:rPr>
        <w:t>333, зареєстрованих у Міністерстві юстиції України 10 вересня 2003 року за №</w:t>
      </w:r>
      <w:r w:rsidR="00B46BFD">
        <w:rPr>
          <w:rFonts w:eastAsiaTheme="minorEastAsia"/>
          <w:noProof/>
          <w:color w:val="000000" w:themeColor="text1"/>
          <w:lang w:eastAsia="en-US"/>
        </w:rPr>
        <w:t> </w:t>
      </w:r>
      <w:r w:rsidR="008E0036" w:rsidRPr="008E0036">
        <w:rPr>
          <w:rFonts w:eastAsiaTheme="minorEastAsia"/>
          <w:noProof/>
          <w:color w:val="000000" w:themeColor="text1"/>
          <w:lang w:eastAsia="en-US"/>
        </w:rPr>
        <w:t>790/8111 (у редакції постанови Правління Національного банку України від 07</w:t>
      </w:r>
      <w:r w:rsidR="00B46BFD">
        <w:rPr>
          <w:rFonts w:eastAsiaTheme="minorEastAsia"/>
          <w:noProof/>
          <w:color w:val="000000" w:themeColor="text1"/>
          <w:lang w:eastAsia="en-US"/>
        </w:rPr>
        <w:t> </w:t>
      </w:r>
      <w:r w:rsidR="008E0036" w:rsidRPr="008E0036">
        <w:rPr>
          <w:rFonts w:eastAsiaTheme="minorEastAsia"/>
          <w:noProof/>
          <w:color w:val="000000" w:themeColor="text1"/>
          <w:lang w:eastAsia="en-US"/>
        </w:rPr>
        <w:t>березня 2019 року № 48)</w:t>
      </w:r>
      <w:r w:rsidR="006C5E57">
        <w:rPr>
          <w:rFonts w:eastAsiaTheme="minorEastAsia"/>
          <w:noProof/>
          <w:color w:val="000000" w:themeColor="text1"/>
          <w:lang w:eastAsia="en-US"/>
        </w:rPr>
        <w:t xml:space="preserve"> (</w:t>
      </w:r>
      <w:r w:rsidR="008E0036" w:rsidRPr="008E0036">
        <w:rPr>
          <w:rFonts w:eastAsiaTheme="minorEastAsia"/>
          <w:noProof/>
          <w:color w:val="000000" w:themeColor="text1"/>
          <w:lang w:eastAsia="en-US"/>
        </w:rPr>
        <w:t>зі змінами</w:t>
      </w:r>
      <w:r w:rsidR="006C5E57">
        <w:rPr>
          <w:rFonts w:eastAsiaTheme="minorEastAsia"/>
          <w:noProof/>
          <w:color w:val="000000" w:themeColor="text1"/>
          <w:lang w:eastAsia="en-US"/>
        </w:rPr>
        <w:t>)</w:t>
      </w:r>
      <w:r w:rsidR="008E0036" w:rsidRPr="008E0036">
        <w:rPr>
          <w:rFonts w:eastAsiaTheme="minorEastAsia"/>
          <w:noProof/>
          <w:color w:val="000000" w:themeColor="text1"/>
          <w:lang w:eastAsia="en-US"/>
        </w:rPr>
        <w:t>, виклавши їх у новій редакції, що додається.</w:t>
      </w:r>
    </w:p>
    <w:p w14:paraId="045D9DD2" w14:textId="77777777" w:rsidR="008E0036" w:rsidRDefault="00AD7DF9" w:rsidP="008E0036">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2. </w:t>
      </w:r>
      <w:r w:rsidR="008E0036" w:rsidRPr="008E0036">
        <w:rPr>
          <w:rFonts w:eastAsiaTheme="minorEastAsia"/>
          <w:noProof/>
          <w:color w:val="000000" w:themeColor="text1"/>
          <w:lang w:eastAsia="en-US"/>
        </w:rPr>
        <w:t>Визнати такими, що втратили чинність:</w:t>
      </w:r>
      <w:r w:rsidR="008E0036">
        <w:rPr>
          <w:rFonts w:eastAsiaTheme="minorEastAsia"/>
          <w:noProof/>
          <w:color w:val="000000" w:themeColor="text1"/>
          <w:lang w:eastAsia="en-US"/>
        </w:rPr>
        <w:t xml:space="preserve"> </w:t>
      </w:r>
    </w:p>
    <w:p w14:paraId="167C3392" w14:textId="77777777" w:rsidR="008E0036" w:rsidRDefault="008E0036" w:rsidP="008E0036">
      <w:pPr>
        <w:tabs>
          <w:tab w:val="left" w:pos="1134"/>
        </w:tabs>
        <w:spacing w:before="240" w:after="240"/>
        <w:ind w:firstLine="567"/>
        <w:rPr>
          <w:rFonts w:eastAsiaTheme="minorEastAsia"/>
          <w:noProof/>
          <w:color w:val="000000" w:themeColor="text1"/>
          <w:lang w:eastAsia="en-US"/>
        </w:rPr>
      </w:pPr>
      <w:r w:rsidRPr="008E0036">
        <w:rPr>
          <w:rFonts w:eastAsiaTheme="minorEastAsia"/>
          <w:noProof/>
          <w:color w:val="000000" w:themeColor="text1"/>
          <w:lang w:eastAsia="en-US"/>
        </w:rPr>
        <w:t>1)</w:t>
      </w:r>
      <w:r w:rsidRPr="008E0036">
        <w:rPr>
          <w:rFonts w:eastAsiaTheme="minorEastAsia"/>
          <w:noProof/>
          <w:color w:val="000000" w:themeColor="text1"/>
          <w:lang w:eastAsia="en-US"/>
        </w:rPr>
        <w:tab/>
        <w:t>постанову Правління Національного банку України від 06 серпня 2022 року № 173 “Про незастосування Тарифів на депозитарні послуги (операції), що надаються (здійснюються) Національним банком України, а також на послуги щодо обліку і обігу депозитних сертифікатів Національного банку України та визнання такими, що втратили чинність, деяких нормативно-правових актів Національного банку України”;</w:t>
      </w:r>
      <w:r>
        <w:rPr>
          <w:rFonts w:eastAsiaTheme="minorEastAsia"/>
          <w:noProof/>
          <w:color w:val="000000" w:themeColor="text1"/>
          <w:lang w:eastAsia="en-US"/>
        </w:rPr>
        <w:t xml:space="preserve"> </w:t>
      </w:r>
    </w:p>
    <w:p w14:paraId="35D316F2" w14:textId="77777777" w:rsidR="008E0036" w:rsidRDefault="008E0036" w:rsidP="008E0036">
      <w:pPr>
        <w:tabs>
          <w:tab w:val="left" w:pos="1134"/>
        </w:tabs>
        <w:spacing w:before="240" w:after="240"/>
        <w:ind w:firstLine="567"/>
        <w:rPr>
          <w:rFonts w:eastAsiaTheme="minorEastAsia"/>
          <w:noProof/>
          <w:color w:val="000000" w:themeColor="text1"/>
          <w:lang w:eastAsia="en-US"/>
        </w:rPr>
      </w:pPr>
      <w:r w:rsidRPr="008E0036">
        <w:rPr>
          <w:rFonts w:eastAsiaTheme="minorEastAsia"/>
          <w:noProof/>
          <w:color w:val="000000" w:themeColor="text1"/>
          <w:lang w:eastAsia="en-US"/>
        </w:rPr>
        <w:lastRenderedPageBreak/>
        <w:t>2)</w:t>
      </w:r>
      <w:r w:rsidRPr="008E0036">
        <w:rPr>
          <w:rFonts w:eastAsiaTheme="minorEastAsia"/>
          <w:noProof/>
          <w:color w:val="000000" w:themeColor="text1"/>
          <w:lang w:eastAsia="en-US"/>
        </w:rPr>
        <w:tab/>
        <w:t>постанову Правління Національного банку України від 22 грудня 2022 року № 246 “Про внесення зміни до постанови Правління Національного банку України від 06 серпня 2022 року № 173”;</w:t>
      </w:r>
      <w:r>
        <w:rPr>
          <w:rFonts w:eastAsiaTheme="minorEastAsia"/>
          <w:noProof/>
          <w:color w:val="000000" w:themeColor="text1"/>
          <w:lang w:eastAsia="en-US"/>
        </w:rPr>
        <w:t xml:space="preserve"> </w:t>
      </w:r>
    </w:p>
    <w:p w14:paraId="7E241083" w14:textId="77777777" w:rsidR="00AD7DF9" w:rsidRDefault="008E0036" w:rsidP="008E0036">
      <w:pPr>
        <w:tabs>
          <w:tab w:val="left" w:pos="1134"/>
        </w:tabs>
        <w:spacing w:before="240" w:after="240"/>
        <w:ind w:firstLine="567"/>
        <w:rPr>
          <w:rFonts w:eastAsiaTheme="minorEastAsia"/>
          <w:noProof/>
          <w:color w:val="000000" w:themeColor="text1"/>
          <w:lang w:eastAsia="en-US"/>
        </w:rPr>
      </w:pPr>
      <w:r w:rsidRPr="008E0036">
        <w:rPr>
          <w:rFonts w:eastAsiaTheme="minorEastAsia"/>
          <w:noProof/>
          <w:color w:val="000000" w:themeColor="text1"/>
          <w:lang w:eastAsia="en-US"/>
        </w:rPr>
        <w:t>3)</w:t>
      </w:r>
      <w:r w:rsidRPr="008E0036">
        <w:rPr>
          <w:rFonts w:eastAsiaTheme="minorEastAsia"/>
          <w:noProof/>
          <w:color w:val="000000" w:themeColor="text1"/>
          <w:lang w:eastAsia="en-US"/>
        </w:rPr>
        <w:tab/>
        <w:t>постанову Правління</w:t>
      </w:r>
      <w:r>
        <w:rPr>
          <w:rFonts w:eastAsiaTheme="minorEastAsia"/>
          <w:noProof/>
          <w:color w:val="000000" w:themeColor="text1"/>
          <w:lang w:eastAsia="en-US"/>
        </w:rPr>
        <w:t xml:space="preserve"> На</w:t>
      </w:r>
      <w:r w:rsidRPr="008E0036">
        <w:rPr>
          <w:rFonts w:eastAsiaTheme="minorEastAsia"/>
          <w:noProof/>
          <w:color w:val="000000" w:themeColor="text1"/>
          <w:lang w:eastAsia="en-US"/>
        </w:rPr>
        <w:t>ціонального банку України від 22 квітня 2023 року № 55 “Про внесення змін до постанови Правління Національного банку України від 06 серпня 2022 року № 173”.</w:t>
      </w:r>
    </w:p>
    <w:p w14:paraId="489A602F" w14:textId="77777777" w:rsidR="00AD7DF9" w:rsidRDefault="00AD7DF9" w:rsidP="005F4548">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3. </w:t>
      </w:r>
      <w:r w:rsidR="008F2BD6" w:rsidRPr="008F2BD6">
        <w:rPr>
          <w:rFonts w:eastAsiaTheme="minorEastAsia"/>
          <w:noProof/>
          <w:color w:val="000000" w:themeColor="text1"/>
          <w:lang w:eastAsia="en-US"/>
        </w:rPr>
        <w:t>Управлінню корпоративних прав та депозитарної діяльності Національного банку України (Андрій Супрун) після офіційного опублікування довести до відома клієнтів депозитарію Національного банку України, депонентів депозитарної установи Національного банку України та банків інформацію про прийняття цієї постанови.</w:t>
      </w:r>
    </w:p>
    <w:p w14:paraId="6568C8CF" w14:textId="77777777" w:rsidR="00AD7DF9" w:rsidRDefault="00AD7DF9" w:rsidP="005F4548">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4. </w:t>
      </w:r>
      <w:r w:rsidR="00892286" w:rsidRPr="00892286">
        <w:rPr>
          <w:rFonts w:eastAsiaTheme="minorEastAsia"/>
          <w:noProof/>
          <w:color w:val="000000" w:themeColor="text1"/>
          <w:lang w:eastAsia="en-US"/>
        </w:rPr>
        <w:t>Контроль за виконанням цієї постанови покласти на заступника Голови Національного банку України Юрія Гелетія.</w:t>
      </w:r>
    </w:p>
    <w:p w14:paraId="7FEC8FF3" w14:textId="77777777" w:rsidR="003D6B33" w:rsidRPr="008F2BD6" w:rsidRDefault="003D6B33" w:rsidP="005F4548">
      <w:pPr>
        <w:spacing w:before="240" w:after="240"/>
        <w:ind w:firstLine="567"/>
        <w:rPr>
          <w:rFonts w:eastAsiaTheme="minorEastAsia"/>
          <w:noProof/>
          <w:color w:val="000000" w:themeColor="text1"/>
          <w:lang w:eastAsia="en-US"/>
        </w:rPr>
      </w:pPr>
      <w:r>
        <w:rPr>
          <w:rFonts w:eastAsiaTheme="minorEastAsia"/>
          <w:noProof/>
          <w:color w:val="000000" w:themeColor="text1"/>
          <w:lang w:val="ru-RU" w:eastAsia="en-US"/>
        </w:rPr>
        <w:t>5.</w:t>
      </w:r>
      <w:r>
        <w:rPr>
          <w:rFonts w:eastAsiaTheme="minorEastAsia"/>
          <w:noProof/>
          <w:color w:val="000000" w:themeColor="text1"/>
          <w:lang w:val="en-US" w:eastAsia="en-US"/>
        </w:rPr>
        <w:t> </w:t>
      </w:r>
      <w:r w:rsidR="00892286" w:rsidRPr="00892286">
        <w:rPr>
          <w:rFonts w:eastAsiaTheme="minorEastAsia"/>
          <w:noProof/>
          <w:color w:val="000000" w:themeColor="text1"/>
          <w:lang w:eastAsia="en-US"/>
        </w:rPr>
        <w:t>Постанова набирає чинності з 24 травня 2023 року.</w:t>
      </w:r>
    </w:p>
    <w:p w14:paraId="315B6CEB" w14:textId="77777777" w:rsidR="00E42621" w:rsidRPr="00CD0CD4" w:rsidRDefault="00E42621" w:rsidP="00E42621">
      <w:pPr>
        <w:tabs>
          <w:tab w:val="left" w:pos="993"/>
        </w:tabs>
        <w:spacing w:after="120"/>
      </w:pPr>
    </w:p>
    <w:p w14:paraId="1B6E2ECB" w14:textId="77777777" w:rsidR="0095741D" w:rsidRPr="00CD0CD4" w:rsidRDefault="0095741D" w:rsidP="005F4548">
      <w:pPr>
        <w:spacing w:after="12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D60CC" w:rsidRPr="00CD0CD4" w14:paraId="7C21BB67" w14:textId="77777777" w:rsidTr="00BD6D34">
        <w:tc>
          <w:tcPr>
            <w:tcW w:w="5495" w:type="dxa"/>
            <w:vAlign w:val="bottom"/>
          </w:tcPr>
          <w:p w14:paraId="6D05D6CB" w14:textId="77777777" w:rsidR="00DD60CC" w:rsidRPr="00CD0CD4" w:rsidRDefault="008E0036" w:rsidP="00216CFE">
            <w:pPr>
              <w:autoSpaceDE w:val="0"/>
              <w:autoSpaceDN w:val="0"/>
              <w:ind w:left="-108"/>
              <w:jc w:val="left"/>
            </w:pPr>
            <w:r>
              <w:t xml:space="preserve">Голова </w:t>
            </w:r>
          </w:p>
        </w:tc>
        <w:tc>
          <w:tcPr>
            <w:tcW w:w="4252" w:type="dxa"/>
            <w:vAlign w:val="bottom"/>
          </w:tcPr>
          <w:p w14:paraId="140E1AAB" w14:textId="77777777" w:rsidR="00DD60CC" w:rsidRPr="00CD0CD4" w:rsidRDefault="008E0036" w:rsidP="00216CFE">
            <w:pPr>
              <w:tabs>
                <w:tab w:val="left" w:pos="7020"/>
                <w:tab w:val="left" w:pos="7200"/>
              </w:tabs>
              <w:autoSpaceDE w:val="0"/>
              <w:autoSpaceDN w:val="0"/>
              <w:ind w:left="-108"/>
              <w:jc w:val="right"/>
            </w:pPr>
            <w:r>
              <w:t>Андрій ПИШНИЙ</w:t>
            </w:r>
          </w:p>
        </w:tc>
      </w:tr>
    </w:tbl>
    <w:p w14:paraId="351F61D8" w14:textId="77777777" w:rsidR="00FA508E" w:rsidRDefault="00FA508E" w:rsidP="00E53CCD"/>
    <w:p w14:paraId="0FF96607" w14:textId="77777777" w:rsidR="00892286" w:rsidRPr="00CD0CD4" w:rsidRDefault="00892286" w:rsidP="00E53CCD"/>
    <w:p w14:paraId="6DCBC3C0" w14:textId="77777777" w:rsidR="00892286" w:rsidRDefault="00FA508E" w:rsidP="00FA508E">
      <w:pPr>
        <w:jc w:val="left"/>
        <w:rPr>
          <w:lang w:val="en-US"/>
        </w:rPr>
      </w:pPr>
      <w:r w:rsidRPr="00CD0CD4">
        <w:t>Інд.</w:t>
      </w:r>
      <w:r w:rsidRPr="00CD0CD4">
        <w:rPr>
          <w:sz w:val="22"/>
          <w:szCs w:val="22"/>
        </w:rPr>
        <w:t xml:space="preserve"> </w:t>
      </w:r>
      <w:r w:rsidR="008E0036">
        <w:rPr>
          <w:lang w:val="en-US"/>
        </w:rPr>
        <w:t>62</w:t>
      </w:r>
    </w:p>
    <w:p w14:paraId="3D219935" w14:textId="77777777" w:rsidR="00216CFE" w:rsidRDefault="00216CFE" w:rsidP="00FA508E">
      <w:pPr>
        <w:jc w:val="left"/>
        <w:rPr>
          <w:lang w:val="en-US"/>
        </w:rPr>
        <w:sectPr w:rsidR="00216CFE" w:rsidSect="00B46BFD">
          <w:headerReference w:type="default" r:id="rId14"/>
          <w:headerReference w:type="first" r:id="rId15"/>
          <w:type w:val="continuous"/>
          <w:pgSz w:w="11906" w:h="16838" w:code="9"/>
          <w:pgMar w:top="567" w:right="567" w:bottom="1701" w:left="1701" w:header="567" w:footer="709" w:gutter="0"/>
          <w:cols w:space="708"/>
          <w:titlePg/>
          <w:docGrid w:linePitch="381"/>
        </w:sectPr>
      </w:pPr>
    </w:p>
    <w:p w14:paraId="4CFF54DA" w14:textId="77777777" w:rsidR="00892286" w:rsidRDefault="00892286" w:rsidP="00FE1999">
      <w:pPr>
        <w:ind w:left="5245"/>
        <w:jc w:val="left"/>
      </w:pPr>
      <w:r>
        <w:lastRenderedPageBreak/>
        <w:t>ЗАТВЕРДЖЕНО</w:t>
      </w:r>
    </w:p>
    <w:p w14:paraId="7A671DC9" w14:textId="77777777" w:rsidR="00892286" w:rsidRDefault="00892286" w:rsidP="00FE1999">
      <w:pPr>
        <w:ind w:left="5245"/>
        <w:jc w:val="left"/>
      </w:pPr>
      <w:r>
        <w:t xml:space="preserve">Постанова Правління </w:t>
      </w:r>
    </w:p>
    <w:p w14:paraId="60EEAC1E" w14:textId="77777777" w:rsidR="00892286" w:rsidRDefault="00892286" w:rsidP="00FE1999">
      <w:pPr>
        <w:ind w:left="5245"/>
        <w:jc w:val="left"/>
      </w:pPr>
      <w:r>
        <w:t xml:space="preserve">Національного банку України </w:t>
      </w:r>
    </w:p>
    <w:p w14:paraId="04C0AA2D" w14:textId="77777777" w:rsidR="00FE1999" w:rsidRDefault="00FE1999" w:rsidP="00FE1999">
      <w:pPr>
        <w:ind w:left="5245"/>
        <w:jc w:val="left"/>
      </w:pPr>
      <w:r>
        <w:t>12 серпня 2003 року № 333</w:t>
      </w:r>
    </w:p>
    <w:p w14:paraId="6E4D45A7" w14:textId="77777777" w:rsidR="00FE1999" w:rsidRDefault="00FE1999" w:rsidP="00FE1999">
      <w:pPr>
        <w:ind w:left="5245"/>
        <w:jc w:val="left"/>
      </w:pPr>
      <w:r>
        <w:t>(у редакції постанови Правління</w:t>
      </w:r>
    </w:p>
    <w:p w14:paraId="2576188C" w14:textId="77777777" w:rsidR="00FE1999" w:rsidRDefault="00FE1999" w:rsidP="00FE1999">
      <w:pPr>
        <w:ind w:left="5245"/>
        <w:jc w:val="left"/>
      </w:pPr>
      <w:r>
        <w:t>Національного банку України</w:t>
      </w:r>
    </w:p>
    <w:p w14:paraId="7A07A6FA" w14:textId="61F36CD7" w:rsidR="00FE1999" w:rsidRDefault="009A60B0" w:rsidP="00FE1999">
      <w:pPr>
        <w:ind w:left="5245"/>
        <w:jc w:val="left"/>
      </w:pPr>
      <w:r>
        <w:t>23</w:t>
      </w:r>
      <w:bookmarkStart w:id="0" w:name="_GoBack"/>
      <w:bookmarkEnd w:id="0"/>
      <w:r w:rsidR="00A6718A">
        <w:t xml:space="preserve"> травня </w:t>
      </w:r>
      <w:r>
        <w:t>2023</w:t>
      </w:r>
      <w:r w:rsidR="00A6718A">
        <w:t xml:space="preserve"> року</w:t>
      </w:r>
      <w:r>
        <w:t xml:space="preserve"> № 70)</w:t>
      </w:r>
    </w:p>
    <w:p w14:paraId="1A766ADB" w14:textId="77777777" w:rsidR="004F50D6" w:rsidRDefault="004F50D6" w:rsidP="00FE1999">
      <w:pPr>
        <w:ind w:left="5245"/>
        <w:jc w:val="left"/>
      </w:pPr>
    </w:p>
    <w:p w14:paraId="129DBCC9" w14:textId="77777777" w:rsidR="00FE1999" w:rsidRDefault="00FE1999" w:rsidP="00FE1999">
      <w:pPr>
        <w:ind w:left="5245"/>
        <w:jc w:val="left"/>
      </w:pPr>
      <w:r>
        <w:t>Зареєстровано</w:t>
      </w:r>
    </w:p>
    <w:p w14:paraId="48601727" w14:textId="77777777" w:rsidR="00FE1999" w:rsidRDefault="00FE1999" w:rsidP="00FE1999">
      <w:pPr>
        <w:ind w:left="5245"/>
        <w:jc w:val="left"/>
      </w:pPr>
      <w:r>
        <w:t>в Міністерстві юстиції України</w:t>
      </w:r>
    </w:p>
    <w:p w14:paraId="3F4DDDBB" w14:textId="25ACF8A3" w:rsidR="00892286" w:rsidRDefault="00FE1999" w:rsidP="00FE1999">
      <w:pPr>
        <w:ind w:left="5245"/>
        <w:jc w:val="left"/>
      </w:pPr>
      <w:r>
        <w:t>10 вересня 2003 року за № 790/8111</w:t>
      </w:r>
    </w:p>
    <w:p w14:paraId="68FBFC47" w14:textId="77777777" w:rsidR="00892286" w:rsidRDefault="00892286" w:rsidP="00892286">
      <w:pPr>
        <w:jc w:val="left"/>
      </w:pPr>
    </w:p>
    <w:p w14:paraId="260A10C1" w14:textId="77777777" w:rsidR="00892286" w:rsidRDefault="00892286" w:rsidP="00892286">
      <w:pPr>
        <w:jc w:val="center"/>
      </w:pPr>
      <w:r>
        <w:t xml:space="preserve">Тарифи на депозитарні послуги (операції), що надаються (здійснюються) Національним банком України, а також на послуги щодо обліку </w:t>
      </w:r>
      <w:r w:rsidR="0093660F">
        <w:t>і</w:t>
      </w:r>
      <w:r>
        <w:t xml:space="preserve"> обігу депозитних сертифікатів Національного банку України</w:t>
      </w:r>
    </w:p>
    <w:p w14:paraId="6B31713C" w14:textId="77777777" w:rsidR="00892286" w:rsidRDefault="00892286" w:rsidP="00892286">
      <w:pPr>
        <w:jc w:val="left"/>
      </w:pPr>
    </w:p>
    <w:p w14:paraId="62D202AE" w14:textId="77777777" w:rsidR="00892286" w:rsidRDefault="00892286" w:rsidP="00892286">
      <w:pPr>
        <w:pStyle w:val="af3"/>
        <w:numPr>
          <w:ilvl w:val="0"/>
          <w:numId w:val="3"/>
        </w:numPr>
        <w:tabs>
          <w:tab w:val="left" w:pos="284"/>
          <w:tab w:val="left" w:pos="851"/>
        </w:tabs>
        <w:ind w:left="0" w:firstLine="0"/>
        <w:jc w:val="center"/>
      </w:pPr>
      <w:r>
        <w:t>Тарифи на послуги (операції) із депозитарного обслуговування депозитарних установ, що надаються (здійснюються) Національним банком України як</w:t>
      </w:r>
      <w:r w:rsidRPr="00892286">
        <w:t xml:space="preserve"> депозитарієм</w:t>
      </w:r>
    </w:p>
    <w:p w14:paraId="2DBDBF07" w14:textId="77777777" w:rsidR="00892286" w:rsidRDefault="00892286" w:rsidP="00892286">
      <w:pPr>
        <w:pStyle w:val="af3"/>
        <w:ind w:left="1515"/>
        <w:jc w:val="center"/>
      </w:pPr>
    </w:p>
    <w:p w14:paraId="63564602" w14:textId="77777777" w:rsidR="00892286" w:rsidRPr="00892286" w:rsidRDefault="00892286" w:rsidP="00CB3A19">
      <w:pPr>
        <w:ind w:left="794"/>
        <w:jc w:val="right"/>
      </w:pPr>
      <w:r w:rsidRPr="00892286">
        <w:t>Таблиця 1</w:t>
      </w:r>
    </w:p>
    <w:tbl>
      <w:tblPr>
        <w:tblStyle w:val="1"/>
        <w:tblW w:w="9776" w:type="dxa"/>
        <w:tblBorders>
          <w:bottom w:val="none" w:sz="0" w:space="0" w:color="auto"/>
        </w:tblBorders>
        <w:tblLayout w:type="fixed"/>
        <w:tblLook w:val="04A0" w:firstRow="1" w:lastRow="0" w:firstColumn="1" w:lastColumn="0" w:noHBand="0" w:noVBand="1"/>
      </w:tblPr>
      <w:tblGrid>
        <w:gridCol w:w="653"/>
        <w:gridCol w:w="1554"/>
        <w:gridCol w:w="3614"/>
        <w:gridCol w:w="2461"/>
        <w:gridCol w:w="1494"/>
      </w:tblGrid>
      <w:tr w:rsidR="00892286" w:rsidRPr="00892286" w14:paraId="51E80AE8" w14:textId="77777777" w:rsidTr="005E097D">
        <w:tc>
          <w:tcPr>
            <w:tcW w:w="653" w:type="dxa"/>
          </w:tcPr>
          <w:p w14:paraId="7FC8AC17" w14:textId="77777777" w:rsidR="00892286" w:rsidRPr="00892286" w:rsidRDefault="00892286" w:rsidP="00892286">
            <w:pPr>
              <w:jc w:val="center"/>
            </w:pPr>
            <w:r w:rsidRPr="00892286">
              <w:t>№ з/п</w:t>
            </w:r>
          </w:p>
        </w:tc>
        <w:tc>
          <w:tcPr>
            <w:tcW w:w="1554" w:type="dxa"/>
          </w:tcPr>
          <w:p w14:paraId="507EE7BD" w14:textId="77777777" w:rsidR="00892286" w:rsidRPr="00892286" w:rsidRDefault="00892286" w:rsidP="00892286">
            <w:pPr>
              <w:jc w:val="center"/>
            </w:pPr>
            <w:r w:rsidRPr="00892286">
              <w:t xml:space="preserve">№ послуги </w:t>
            </w:r>
            <w:r>
              <w:t>(</w:t>
            </w:r>
            <w:r w:rsidRPr="00892286">
              <w:t>операції)</w:t>
            </w:r>
          </w:p>
        </w:tc>
        <w:tc>
          <w:tcPr>
            <w:tcW w:w="3614" w:type="dxa"/>
          </w:tcPr>
          <w:p w14:paraId="2F8D2164" w14:textId="77777777" w:rsidR="00892286" w:rsidRPr="00892286" w:rsidRDefault="00892286" w:rsidP="00892286">
            <w:pPr>
              <w:jc w:val="center"/>
            </w:pPr>
            <w:r w:rsidRPr="00892286">
              <w:t>Найменування послуг (операцій)</w:t>
            </w:r>
          </w:p>
        </w:tc>
        <w:tc>
          <w:tcPr>
            <w:tcW w:w="2461" w:type="dxa"/>
          </w:tcPr>
          <w:p w14:paraId="5446CA1A" w14:textId="77777777" w:rsidR="00892286" w:rsidRPr="00892286" w:rsidRDefault="00892286" w:rsidP="00892286">
            <w:pPr>
              <w:jc w:val="center"/>
            </w:pPr>
            <w:r w:rsidRPr="00892286">
              <w:t>Одиниця виміру</w:t>
            </w:r>
          </w:p>
        </w:tc>
        <w:tc>
          <w:tcPr>
            <w:tcW w:w="1494" w:type="dxa"/>
          </w:tcPr>
          <w:p w14:paraId="3AC419F1" w14:textId="77777777" w:rsidR="00892286" w:rsidRPr="00892286" w:rsidRDefault="00892286" w:rsidP="00892286">
            <w:pPr>
              <w:jc w:val="center"/>
            </w:pPr>
            <w:r w:rsidRPr="00892286">
              <w:t>Тарифи</w:t>
            </w:r>
          </w:p>
          <w:p w14:paraId="10240BDE" w14:textId="77777777" w:rsidR="00892286" w:rsidRPr="00892286" w:rsidRDefault="00892286" w:rsidP="00892286">
            <w:pPr>
              <w:jc w:val="center"/>
            </w:pPr>
          </w:p>
        </w:tc>
      </w:tr>
    </w:tbl>
    <w:p w14:paraId="4DF73627" w14:textId="77777777" w:rsidR="00216CFE" w:rsidRPr="00216CFE" w:rsidRDefault="00216CFE">
      <w:pPr>
        <w:rPr>
          <w:sz w:val="2"/>
        </w:rPr>
      </w:pPr>
    </w:p>
    <w:tbl>
      <w:tblPr>
        <w:tblStyle w:val="1"/>
        <w:tblW w:w="9776" w:type="dxa"/>
        <w:tblLayout w:type="fixed"/>
        <w:tblLook w:val="04A0" w:firstRow="1" w:lastRow="0" w:firstColumn="1" w:lastColumn="0" w:noHBand="0" w:noVBand="1"/>
      </w:tblPr>
      <w:tblGrid>
        <w:gridCol w:w="653"/>
        <w:gridCol w:w="1559"/>
        <w:gridCol w:w="3623"/>
        <w:gridCol w:w="2456"/>
        <w:gridCol w:w="1485"/>
      </w:tblGrid>
      <w:tr w:rsidR="00A10A24" w:rsidRPr="00892286" w14:paraId="3F64A6BB" w14:textId="77777777" w:rsidTr="00CB3A19">
        <w:trPr>
          <w:tblHeader/>
        </w:trPr>
        <w:tc>
          <w:tcPr>
            <w:tcW w:w="653" w:type="dxa"/>
          </w:tcPr>
          <w:p w14:paraId="1FE56823" w14:textId="77777777" w:rsidR="00A10A24" w:rsidRPr="00892286" w:rsidRDefault="00A10A24" w:rsidP="00892286">
            <w:pPr>
              <w:jc w:val="center"/>
            </w:pPr>
          </w:p>
        </w:tc>
        <w:tc>
          <w:tcPr>
            <w:tcW w:w="1559" w:type="dxa"/>
          </w:tcPr>
          <w:p w14:paraId="3ED8C4C2" w14:textId="77777777" w:rsidR="00A10A24" w:rsidRPr="00892286" w:rsidRDefault="00A10A24" w:rsidP="00892286">
            <w:pPr>
              <w:jc w:val="center"/>
            </w:pPr>
            <w:r>
              <w:t>2</w:t>
            </w:r>
          </w:p>
        </w:tc>
        <w:tc>
          <w:tcPr>
            <w:tcW w:w="3623" w:type="dxa"/>
          </w:tcPr>
          <w:p w14:paraId="1D01093D" w14:textId="77777777" w:rsidR="00A10A24" w:rsidRPr="00892286" w:rsidRDefault="00A10A24" w:rsidP="00892286">
            <w:pPr>
              <w:jc w:val="center"/>
            </w:pPr>
            <w:r>
              <w:t>3</w:t>
            </w:r>
          </w:p>
        </w:tc>
        <w:tc>
          <w:tcPr>
            <w:tcW w:w="2456" w:type="dxa"/>
          </w:tcPr>
          <w:p w14:paraId="4BCC3CEE" w14:textId="77777777" w:rsidR="00A10A24" w:rsidRPr="00892286" w:rsidRDefault="00A10A24" w:rsidP="00892286">
            <w:pPr>
              <w:jc w:val="center"/>
            </w:pPr>
            <w:r>
              <w:t>4</w:t>
            </w:r>
          </w:p>
        </w:tc>
        <w:tc>
          <w:tcPr>
            <w:tcW w:w="1485" w:type="dxa"/>
          </w:tcPr>
          <w:p w14:paraId="754A5325" w14:textId="77777777" w:rsidR="00A10A24" w:rsidRPr="00892286" w:rsidRDefault="00A10A24" w:rsidP="00892286">
            <w:pPr>
              <w:jc w:val="center"/>
            </w:pPr>
            <w:r>
              <w:t>5</w:t>
            </w:r>
          </w:p>
        </w:tc>
      </w:tr>
      <w:tr w:rsidR="00892286" w:rsidRPr="00892286" w14:paraId="75EA9BB0" w14:textId="77777777" w:rsidTr="00CB3A19">
        <w:tc>
          <w:tcPr>
            <w:tcW w:w="653" w:type="dxa"/>
          </w:tcPr>
          <w:p w14:paraId="135D2A2E" w14:textId="77777777" w:rsidR="00892286" w:rsidRPr="00892286" w:rsidRDefault="00892286" w:rsidP="00892286">
            <w:pPr>
              <w:jc w:val="center"/>
            </w:pPr>
            <w:r w:rsidRPr="00892286">
              <w:t>1</w:t>
            </w:r>
          </w:p>
        </w:tc>
        <w:tc>
          <w:tcPr>
            <w:tcW w:w="1559" w:type="dxa"/>
          </w:tcPr>
          <w:p w14:paraId="7827DCCE" w14:textId="77777777" w:rsidR="00892286" w:rsidRPr="00892286" w:rsidRDefault="00892286" w:rsidP="00892286">
            <w:pPr>
              <w:jc w:val="center"/>
            </w:pPr>
            <w:r w:rsidRPr="00892286">
              <w:t>1</w:t>
            </w:r>
          </w:p>
        </w:tc>
        <w:tc>
          <w:tcPr>
            <w:tcW w:w="3623" w:type="dxa"/>
          </w:tcPr>
          <w:p w14:paraId="2C4ED096" w14:textId="75B2F232" w:rsidR="00892286" w:rsidRPr="00892286" w:rsidRDefault="00892286" w:rsidP="000D77DF">
            <w:pPr>
              <w:jc w:val="left"/>
            </w:pPr>
            <w:r w:rsidRPr="00892286">
              <w:t>Відкриття рахунку в цінних паперах/виконання Національним банком України</w:t>
            </w:r>
            <w:r w:rsidRPr="00892286">
              <w:rPr>
                <w:lang w:val="ru-RU"/>
              </w:rPr>
              <w:t xml:space="preserve"> </w:t>
            </w:r>
            <w:r w:rsidRPr="00892286">
              <w:t>(далі – Національний банк) у ручному</w:t>
            </w:r>
            <w:r w:rsidRPr="00892286">
              <w:rPr>
                <w:lang w:val="ru-RU"/>
              </w:rPr>
              <w:t xml:space="preserve"> </w:t>
            </w:r>
            <w:r w:rsidRPr="00892286">
              <w:t>режимі облікових депозитарних операцій на підставі окремих розпоряджень, наданих у формі паперового чи електронного документа у випадках, передбачених законодавством України</w:t>
            </w:r>
          </w:p>
        </w:tc>
        <w:tc>
          <w:tcPr>
            <w:tcW w:w="2456" w:type="dxa"/>
          </w:tcPr>
          <w:p w14:paraId="66A4C6CF" w14:textId="77777777" w:rsidR="00892286" w:rsidRPr="00892286" w:rsidRDefault="00892286" w:rsidP="00892286">
            <w:pPr>
              <w:jc w:val="center"/>
            </w:pPr>
            <w:r w:rsidRPr="00892286">
              <w:rPr>
                <w:color w:val="333333"/>
                <w:shd w:val="clear" w:color="auto" w:fill="FFFFFF"/>
              </w:rPr>
              <w:t>1 операція</w:t>
            </w:r>
          </w:p>
        </w:tc>
        <w:tc>
          <w:tcPr>
            <w:tcW w:w="1485" w:type="dxa"/>
          </w:tcPr>
          <w:p w14:paraId="5A6BD581" w14:textId="77777777" w:rsidR="00892286" w:rsidRPr="00892286" w:rsidRDefault="00892286" w:rsidP="00892286">
            <w:pPr>
              <w:jc w:val="center"/>
            </w:pPr>
            <w:r w:rsidRPr="00892286">
              <w:t>1 500 грн</w:t>
            </w:r>
          </w:p>
        </w:tc>
      </w:tr>
      <w:tr w:rsidR="00892286" w:rsidRPr="00892286" w14:paraId="7C7AEF5E" w14:textId="77777777" w:rsidTr="00CB3A19">
        <w:tc>
          <w:tcPr>
            <w:tcW w:w="653" w:type="dxa"/>
          </w:tcPr>
          <w:p w14:paraId="4463A95F" w14:textId="77777777" w:rsidR="00892286" w:rsidRPr="00892286" w:rsidRDefault="00892286" w:rsidP="00892286">
            <w:pPr>
              <w:jc w:val="center"/>
            </w:pPr>
            <w:r w:rsidRPr="00892286">
              <w:t>2</w:t>
            </w:r>
          </w:p>
        </w:tc>
        <w:tc>
          <w:tcPr>
            <w:tcW w:w="1559" w:type="dxa"/>
          </w:tcPr>
          <w:p w14:paraId="3E6573DC" w14:textId="77777777" w:rsidR="00892286" w:rsidRPr="00892286" w:rsidRDefault="00892286" w:rsidP="00892286">
            <w:pPr>
              <w:jc w:val="center"/>
            </w:pPr>
            <w:r w:rsidRPr="00892286">
              <w:t>2</w:t>
            </w:r>
          </w:p>
        </w:tc>
        <w:tc>
          <w:tcPr>
            <w:tcW w:w="3623" w:type="dxa"/>
          </w:tcPr>
          <w:p w14:paraId="551A8A4C" w14:textId="77777777" w:rsidR="00892286" w:rsidRPr="00892286" w:rsidRDefault="00892286" w:rsidP="00892286">
            <w:pPr>
              <w:jc w:val="left"/>
            </w:pPr>
            <w:r w:rsidRPr="00892286">
              <w:t>Абонентська плата за супроводження рахунку</w:t>
            </w:r>
          </w:p>
          <w:p w14:paraId="6FE5A014" w14:textId="0F39FD9B" w:rsidR="00892286" w:rsidRPr="00892286" w:rsidRDefault="00892286" w:rsidP="00892286">
            <w:pPr>
              <w:jc w:val="left"/>
            </w:pPr>
            <w:r w:rsidRPr="00892286">
              <w:t>в цінних паперах депозитарної</w:t>
            </w:r>
            <w:r w:rsidR="000D77DF">
              <w:t xml:space="preserve"> </w:t>
            </w:r>
            <w:r w:rsidRPr="00892286">
              <w:t>установи в системі депозитарного обліку Національного банку (</w:t>
            </w:r>
            <w:r w:rsidR="004F01D5">
              <w:t>в</w:t>
            </w:r>
            <w:r w:rsidRPr="00892286">
              <w:t>ключаючи надання</w:t>
            </w:r>
          </w:p>
          <w:p w14:paraId="573B1846" w14:textId="77777777" w:rsidR="00892286" w:rsidRPr="00892286" w:rsidRDefault="00892286" w:rsidP="00892286">
            <w:pPr>
              <w:ind w:right="-106"/>
              <w:jc w:val="left"/>
            </w:pPr>
            <w:r w:rsidRPr="00892286">
              <w:t>інформаційних довідок із системи депозитарного обліку Національного банку та інформаційних повідомлень щодо державних цінних паперів, розміщених за межами України)</w:t>
            </w:r>
          </w:p>
        </w:tc>
        <w:tc>
          <w:tcPr>
            <w:tcW w:w="2456" w:type="dxa"/>
          </w:tcPr>
          <w:p w14:paraId="111F1CC2" w14:textId="77777777" w:rsidR="00892286" w:rsidRPr="00892286" w:rsidRDefault="00892286" w:rsidP="00892286">
            <w:pPr>
              <w:jc w:val="center"/>
            </w:pPr>
            <w:r w:rsidRPr="00892286">
              <w:t>За повний чи неповний розрахунковий період (незалежно від наявності операцій та залишків цінних паперів на рахунку)</w:t>
            </w:r>
          </w:p>
        </w:tc>
        <w:tc>
          <w:tcPr>
            <w:tcW w:w="1485" w:type="dxa"/>
          </w:tcPr>
          <w:p w14:paraId="719F0475" w14:textId="77777777" w:rsidR="00892286" w:rsidRPr="00892286" w:rsidRDefault="00892286" w:rsidP="00892286">
            <w:pPr>
              <w:jc w:val="center"/>
            </w:pPr>
            <w:r w:rsidRPr="00892286">
              <w:t>400 грн</w:t>
            </w:r>
          </w:p>
        </w:tc>
      </w:tr>
      <w:tr w:rsidR="00892286" w:rsidRPr="00892286" w14:paraId="01CB44DB" w14:textId="77777777" w:rsidTr="00CB3A19">
        <w:tc>
          <w:tcPr>
            <w:tcW w:w="653" w:type="dxa"/>
          </w:tcPr>
          <w:p w14:paraId="133DD486" w14:textId="77777777" w:rsidR="00892286" w:rsidRPr="00892286" w:rsidRDefault="00892286" w:rsidP="00892286">
            <w:pPr>
              <w:jc w:val="center"/>
            </w:pPr>
            <w:r w:rsidRPr="00892286">
              <w:t>3</w:t>
            </w:r>
          </w:p>
        </w:tc>
        <w:tc>
          <w:tcPr>
            <w:tcW w:w="1559" w:type="dxa"/>
          </w:tcPr>
          <w:p w14:paraId="460ED765" w14:textId="77777777" w:rsidR="00892286" w:rsidRPr="00892286" w:rsidRDefault="00892286" w:rsidP="00892286">
            <w:pPr>
              <w:jc w:val="center"/>
            </w:pPr>
            <w:r w:rsidRPr="00892286">
              <w:t>3</w:t>
            </w:r>
          </w:p>
        </w:tc>
        <w:tc>
          <w:tcPr>
            <w:tcW w:w="3623" w:type="dxa"/>
          </w:tcPr>
          <w:p w14:paraId="426A18CE" w14:textId="75552853" w:rsidR="00892286" w:rsidRPr="00892286" w:rsidRDefault="00892286" w:rsidP="004F01D5">
            <w:pPr>
              <w:jc w:val="left"/>
            </w:pPr>
            <w:r w:rsidRPr="00892286">
              <w:t xml:space="preserve">Відображення в системі депозитарного обліку Національного банку правочину, який включено в </w:t>
            </w:r>
            <w:proofErr w:type="spellStart"/>
            <w:r w:rsidRPr="00892286">
              <w:t>неттінгові</w:t>
            </w:r>
            <w:proofErr w:type="spellEnd"/>
            <w:r w:rsidRPr="00892286">
              <w:t xml:space="preserve"> розрахунки/ проведення операцій між балансовими рахунками депозитарної установи, </w:t>
            </w:r>
            <w:r w:rsidR="004F01D5">
              <w:t>в</w:t>
            </w:r>
            <w:r w:rsidRPr="00892286">
              <w:t>ключаючи блокування, розблокування цінних паперів</w:t>
            </w:r>
          </w:p>
        </w:tc>
        <w:tc>
          <w:tcPr>
            <w:tcW w:w="2456" w:type="dxa"/>
          </w:tcPr>
          <w:p w14:paraId="7B466BE0" w14:textId="5EF8FE0C" w:rsidR="00892286" w:rsidRPr="00892286" w:rsidRDefault="00892286" w:rsidP="000D77DF">
            <w:pPr>
              <w:jc w:val="center"/>
            </w:pPr>
            <w:r w:rsidRPr="00892286">
              <w:rPr>
                <w:color w:val="333333"/>
                <w:shd w:val="clear" w:color="auto" w:fill="FFFFFF"/>
              </w:rPr>
              <w:t>1 операція/правочин щодо кожної сторони</w:t>
            </w:r>
          </w:p>
        </w:tc>
        <w:tc>
          <w:tcPr>
            <w:tcW w:w="1485" w:type="dxa"/>
          </w:tcPr>
          <w:p w14:paraId="57A576CC" w14:textId="77777777" w:rsidR="00892286" w:rsidRPr="00892286" w:rsidRDefault="00892286" w:rsidP="00892286">
            <w:pPr>
              <w:jc w:val="center"/>
            </w:pPr>
            <w:r w:rsidRPr="00892286">
              <w:t>5 грн</w:t>
            </w:r>
          </w:p>
        </w:tc>
      </w:tr>
      <w:tr w:rsidR="00892286" w:rsidRPr="00892286" w14:paraId="45493E9D" w14:textId="77777777" w:rsidTr="00CB3A19">
        <w:tc>
          <w:tcPr>
            <w:tcW w:w="653" w:type="dxa"/>
          </w:tcPr>
          <w:p w14:paraId="6E1D49BE" w14:textId="77777777" w:rsidR="00892286" w:rsidRPr="00892286" w:rsidRDefault="00892286" w:rsidP="00892286">
            <w:pPr>
              <w:jc w:val="center"/>
            </w:pPr>
            <w:r w:rsidRPr="00892286">
              <w:t>4</w:t>
            </w:r>
          </w:p>
        </w:tc>
        <w:tc>
          <w:tcPr>
            <w:tcW w:w="1559" w:type="dxa"/>
          </w:tcPr>
          <w:p w14:paraId="74A2E31A" w14:textId="77777777" w:rsidR="00892286" w:rsidRPr="00892286" w:rsidRDefault="00892286" w:rsidP="00892286">
            <w:pPr>
              <w:jc w:val="center"/>
            </w:pPr>
            <w:r w:rsidRPr="00892286">
              <w:t>4</w:t>
            </w:r>
          </w:p>
        </w:tc>
        <w:tc>
          <w:tcPr>
            <w:tcW w:w="3623" w:type="dxa"/>
          </w:tcPr>
          <w:p w14:paraId="27EF4E90" w14:textId="113702FB" w:rsidR="00892286" w:rsidRPr="00892286" w:rsidRDefault="00892286" w:rsidP="004F01D5">
            <w:pPr>
              <w:jc w:val="left"/>
            </w:pPr>
            <w:r w:rsidRPr="00892286">
              <w:t xml:space="preserve">Обслуговування розрахунків у цінних паперах, проведених за принципом </w:t>
            </w:r>
            <w:r w:rsidRPr="00892286">
              <w:rPr>
                <w:lang w:val="ru-RU"/>
              </w:rPr>
              <w:t>“</w:t>
            </w:r>
            <w:r w:rsidRPr="00892286">
              <w:t>поставка цінних паперів проти</w:t>
            </w:r>
            <w:r w:rsidRPr="00892286">
              <w:rPr>
                <w:lang w:val="ru-RU"/>
              </w:rPr>
              <w:t xml:space="preserve"> </w:t>
            </w:r>
            <w:r w:rsidRPr="00892286">
              <w:t>оплати</w:t>
            </w:r>
            <w:r w:rsidRPr="00892286">
              <w:rPr>
                <w:lang w:val="ru-RU"/>
              </w:rPr>
              <w:t>”</w:t>
            </w:r>
            <w:r w:rsidRPr="00892286">
              <w:t xml:space="preserve"> та </w:t>
            </w:r>
            <w:r w:rsidRPr="00892286">
              <w:rPr>
                <w:lang w:val="ru-RU"/>
              </w:rPr>
              <w:t>“</w:t>
            </w:r>
            <w:r w:rsidRPr="00892286">
              <w:t>поставка цінних паперів без оплати</w:t>
            </w:r>
            <w:r w:rsidRPr="00892286">
              <w:rPr>
                <w:lang w:val="ru-RU"/>
              </w:rPr>
              <w:t>”</w:t>
            </w:r>
            <w:r w:rsidRPr="00892286">
              <w:t>,</w:t>
            </w:r>
            <w:r w:rsidRPr="00892286">
              <w:rPr>
                <w:lang w:val="ru-RU"/>
              </w:rPr>
              <w:t xml:space="preserve"> </w:t>
            </w:r>
            <w:r w:rsidRPr="00892286">
              <w:t>укладених поза</w:t>
            </w:r>
            <w:r w:rsidRPr="00892286">
              <w:rPr>
                <w:lang w:val="ru-RU"/>
              </w:rPr>
              <w:t xml:space="preserve"> </w:t>
            </w:r>
            <w:r w:rsidRPr="00892286">
              <w:t>організованим ринком</w:t>
            </w:r>
            <w:r w:rsidRPr="00892286">
              <w:rPr>
                <w:lang w:val="ru-RU"/>
              </w:rPr>
              <w:t xml:space="preserve"> </w:t>
            </w:r>
            <w:r w:rsidRPr="00C36B8E">
              <w:t>капіталу у випадках</w:t>
            </w:r>
            <w:r w:rsidRPr="00892286">
              <w:t>,</w:t>
            </w:r>
            <w:r w:rsidRPr="00892286">
              <w:rPr>
                <w:lang w:val="ru-RU"/>
              </w:rPr>
              <w:t xml:space="preserve"> </w:t>
            </w:r>
            <w:r w:rsidRPr="00892286">
              <w:t>передбачених</w:t>
            </w:r>
            <w:r w:rsidRPr="00892286">
              <w:rPr>
                <w:lang w:val="ru-RU"/>
              </w:rPr>
              <w:t xml:space="preserve"> </w:t>
            </w:r>
            <w:r w:rsidRPr="00892286">
              <w:t>законодавством України (</w:t>
            </w:r>
            <w:r w:rsidR="004F01D5">
              <w:t>в</w:t>
            </w:r>
            <w:r w:rsidR="005E097D" w:rsidRPr="0006297F">
              <w:t>ключаючи</w:t>
            </w:r>
            <w:r w:rsidRPr="0006297F">
              <w:t xml:space="preserve"> </w:t>
            </w:r>
            <w:r w:rsidR="00FB79C6" w:rsidRPr="0006297F">
              <w:t xml:space="preserve">операції </w:t>
            </w:r>
            <w:r w:rsidRPr="0006297F">
              <w:t>без переходу</w:t>
            </w:r>
            <w:r w:rsidRPr="0006297F">
              <w:rPr>
                <w:lang w:val="ru-RU"/>
              </w:rPr>
              <w:t xml:space="preserve"> </w:t>
            </w:r>
            <w:r w:rsidRPr="0006297F">
              <w:t>права власності</w:t>
            </w:r>
            <w:r w:rsidR="00FB79C6" w:rsidRPr="0006297F">
              <w:t xml:space="preserve"> на цінні папери</w:t>
            </w:r>
            <w:r w:rsidRPr="0006297F">
              <w:t>)</w:t>
            </w:r>
          </w:p>
        </w:tc>
        <w:tc>
          <w:tcPr>
            <w:tcW w:w="2456" w:type="dxa"/>
          </w:tcPr>
          <w:p w14:paraId="22A5B65E" w14:textId="77777777" w:rsidR="00892286" w:rsidRPr="00892286" w:rsidRDefault="00892286" w:rsidP="00892286">
            <w:pPr>
              <w:jc w:val="center"/>
            </w:pPr>
            <w:r w:rsidRPr="00892286">
              <w:t>1 операція/правочин щодо кожної сторони</w:t>
            </w:r>
          </w:p>
        </w:tc>
        <w:tc>
          <w:tcPr>
            <w:tcW w:w="1485" w:type="dxa"/>
          </w:tcPr>
          <w:p w14:paraId="4A51F5A3" w14:textId="77777777" w:rsidR="00892286" w:rsidRPr="00892286" w:rsidRDefault="00892286" w:rsidP="00892286">
            <w:pPr>
              <w:jc w:val="center"/>
            </w:pPr>
            <w:r w:rsidRPr="00892286">
              <w:t>250 грн</w:t>
            </w:r>
          </w:p>
        </w:tc>
      </w:tr>
      <w:tr w:rsidR="00892286" w:rsidRPr="00892286" w14:paraId="7D95DE26" w14:textId="77777777" w:rsidTr="00CB3A19">
        <w:tc>
          <w:tcPr>
            <w:tcW w:w="653" w:type="dxa"/>
          </w:tcPr>
          <w:p w14:paraId="25F3E30E" w14:textId="77777777" w:rsidR="00892286" w:rsidRPr="00892286" w:rsidRDefault="00892286" w:rsidP="00892286">
            <w:pPr>
              <w:jc w:val="center"/>
            </w:pPr>
            <w:r w:rsidRPr="00892286">
              <w:t>5</w:t>
            </w:r>
          </w:p>
        </w:tc>
        <w:tc>
          <w:tcPr>
            <w:tcW w:w="1559" w:type="dxa"/>
            <w:vMerge w:val="restart"/>
          </w:tcPr>
          <w:p w14:paraId="185A57A5" w14:textId="77777777" w:rsidR="00892286" w:rsidRPr="00892286" w:rsidRDefault="00892286" w:rsidP="00892286">
            <w:pPr>
              <w:jc w:val="center"/>
            </w:pPr>
            <w:r w:rsidRPr="00892286">
              <w:t>5</w:t>
            </w:r>
          </w:p>
        </w:tc>
        <w:tc>
          <w:tcPr>
            <w:tcW w:w="3623" w:type="dxa"/>
          </w:tcPr>
          <w:p w14:paraId="5CE11A53" w14:textId="067A0AE3" w:rsidR="00892286" w:rsidRPr="00892286" w:rsidRDefault="00892286" w:rsidP="00CF6388">
            <w:pPr>
              <w:jc w:val="left"/>
            </w:pPr>
            <w:r w:rsidRPr="00892286">
              <w:t xml:space="preserve">Виконання облікових депозитарних операцій із цінними паперами в процесі розміщення, погашення, конвертації, здійснення виплати доходів за цінними паперами в сумі </w:t>
            </w:r>
          </w:p>
        </w:tc>
        <w:tc>
          <w:tcPr>
            <w:tcW w:w="2456" w:type="dxa"/>
            <w:vMerge w:val="restart"/>
          </w:tcPr>
          <w:p w14:paraId="42BBC3A2" w14:textId="77777777" w:rsidR="00892286" w:rsidRPr="00892286" w:rsidRDefault="00892286" w:rsidP="00892286">
            <w:pPr>
              <w:jc w:val="center"/>
            </w:pPr>
            <w:r w:rsidRPr="00892286">
              <w:rPr>
                <w:color w:val="333333"/>
                <w:shd w:val="clear" w:color="auto" w:fill="FFFFFF"/>
              </w:rPr>
              <w:t>1 операція</w:t>
            </w:r>
          </w:p>
        </w:tc>
        <w:tc>
          <w:tcPr>
            <w:tcW w:w="1485" w:type="dxa"/>
          </w:tcPr>
          <w:p w14:paraId="384D03C1" w14:textId="77777777" w:rsidR="00892286" w:rsidRPr="00892286" w:rsidRDefault="00892286" w:rsidP="00892286">
            <w:pPr>
              <w:jc w:val="center"/>
            </w:pPr>
          </w:p>
        </w:tc>
      </w:tr>
      <w:tr w:rsidR="00892286" w:rsidRPr="00892286" w14:paraId="2F99DD7D" w14:textId="77777777" w:rsidTr="00CB3A19">
        <w:tc>
          <w:tcPr>
            <w:tcW w:w="653" w:type="dxa"/>
          </w:tcPr>
          <w:p w14:paraId="79784C3D" w14:textId="77777777" w:rsidR="00892286" w:rsidRPr="00892286" w:rsidRDefault="00892286" w:rsidP="00892286">
            <w:pPr>
              <w:jc w:val="center"/>
            </w:pPr>
            <w:r w:rsidRPr="00892286">
              <w:t>6</w:t>
            </w:r>
          </w:p>
        </w:tc>
        <w:tc>
          <w:tcPr>
            <w:tcW w:w="1559" w:type="dxa"/>
            <w:vMerge/>
          </w:tcPr>
          <w:p w14:paraId="1711CADB" w14:textId="77777777" w:rsidR="00892286" w:rsidRPr="00892286" w:rsidRDefault="00892286" w:rsidP="00892286">
            <w:pPr>
              <w:jc w:val="center"/>
            </w:pPr>
          </w:p>
        </w:tc>
        <w:tc>
          <w:tcPr>
            <w:tcW w:w="3623" w:type="dxa"/>
          </w:tcPr>
          <w:p w14:paraId="209FEF6E" w14:textId="77777777" w:rsidR="00892286" w:rsidRPr="00892286" w:rsidRDefault="00892286" w:rsidP="00892286">
            <w:pPr>
              <w:jc w:val="left"/>
            </w:pPr>
            <w:r w:rsidRPr="00892286">
              <w:t>до 500 000 грн</w:t>
            </w:r>
          </w:p>
        </w:tc>
        <w:tc>
          <w:tcPr>
            <w:tcW w:w="2456" w:type="dxa"/>
            <w:vMerge/>
          </w:tcPr>
          <w:p w14:paraId="32B10775" w14:textId="77777777" w:rsidR="00892286" w:rsidRPr="00892286" w:rsidRDefault="00892286" w:rsidP="00892286">
            <w:pPr>
              <w:jc w:val="center"/>
            </w:pPr>
          </w:p>
        </w:tc>
        <w:tc>
          <w:tcPr>
            <w:tcW w:w="1485" w:type="dxa"/>
          </w:tcPr>
          <w:p w14:paraId="4C77EBB2" w14:textId="77777777" w:rsidR="00892286" w:rsidRPr="00892286" w:rsidRDefault="00892286" w:rsidP="00892286">
            <w:pPr>
              <w:jc w:val="center"/>
            </w:pPr>
            <w:r w:rsidRPr="00892286">
              <w:t>150 грн</w:t>
            </w:r>
          </w:p>
        </w:tc>
      </w:tr>
      <w:tr w:rsidR="00892286" w:rsidRPr="00892286" w14:paraId="60F25B35" w14:textId="77777777" w:rsidTr="00CB3A19">
        <w:tc>
          <w:tcPr>
            <w:tcW w:w="653" w:type="dxa"/>
          </w:tcPr>
          <w:p w14:paraId="3CD2C560" w14:textId="77777777" w:rsidR="00892286" w:rsidRPr="00892286" w:rsidRDefault="00892286" w:rsidP="00892286">
            <w:pPr>
              <w:jc w:val="center"/>
            </w:pPr>
            <w:r w:rsidRPr="00892286">
              <w:t>7</w:t>
            </w:r>
          </w:p>
        </w:tc>
        <w:tc>
          <w:tcPr>
            <w:tcW w:w="1559" w:type="dxa"/>
            <w:vMerge/>
          </w:tcPr>
          <w:p w14:paraId="7CEAB9DB" w14:textId="77777777" w:rsidR="00892286" w:rsidRPr="00892286" w:rsidRDefault="00892286" w:rsidP="00892286">
            <w:pPr>
              <w:jc w:val="center"/>
            </w:pPr>
          </w:p>
        </w:tc>
        <w:tc>
          <w:tcPr>
            <w:tcW w:w="3623" w:type="dxa"/>
          </w:tcPr>
          <w:p w14:paraId="53E8F96C" w14:textId="77777777" w:rsidR="00892286" w:rsidRPr="00892286" w:rsidRDefault="00892286" w:rsidP="00CC0CDB">
            <w:pPr>
              <w:jc w:val="left"/>
            </w:pPr>
            <w:r w:rsidRPr="00892286">
              <w:t>від 500 000 грн до 50</w:t>
            </w:r>
            <w:r w:rsidR="00CC0CDB">
              <w:t> </w:t>
            </w:r>
            <w:r w:rsidRPr="00892286">
              <w:t>000</w:t>
            </w:r>
            <w:r w:rsidR="00CC0CDB">
              <w:t> </w:t>
            </w:r>
            <w:r w:rsidRPr="00892286">
              <w:t>000 грн</w:t>
            </w:r>
          </w:p>
        </w:tc>
        <w:tc>
          <w:tcPr>
            <w:tcW w:w="2456" w:type="dxa"/>
            <w:vMerge/>
          </w:tcPr>
          <w:p w14:paraId="2BB58F9C" w14:textId="77777777" w:rsidR="00892286" w:rsidRPr="00892286" w:rsidRDefault="00892286" w:rsidP="00892286">
            <w:pPr>
              <w:jc w:val="center"/>
            </w:pPr>
          </w:p>
        </w:tc>
        <w:tc>
          <w:tcPr>
            <w:tcW w:w="1485" w:type="dxa"/>
          </w:tcPr>
          <w:p w14:paraId="6F53124F" w14:textId="77777777" w:rsidR="00892286" w:rsidRPr="00892286" w:rsidRDefault="00892286" w:rsidP="00892286">
            <w:pPr>
              <w:jc w:val="center"/>
            </w:pPr>
            <w:r w:rsidRPr="00892286">
              <w:t>200 грн</w:t>
            </w:r>
          </w:p>
        </w:tc>
      </w:tr>
      <w:tr w:rsidR="00892286" w:rsidRPr="00892286" w14:paraId="2AC0CFDD" w14:textId="77777777" w:rsidTr="00CB3A19">
        <w:tc>
          <w:tcPr>
            <w:tcW w:w="653" w:type="dxa"/>
          </w:tcPr>
          <w:p w14:paraId="4CA1D97E" w14:textId="77777777" w:rsidR="00892286" w:rsidRPr="00892286" w:rsidRDefault="00892286" w:rsidP="00892286">
            <w:pPr>
              <w:jc w:val="center"/>
            </w:pPr>
            <w:r w:rsidRPr="00892286">
              <w:t>8</w:t>
            </w:r>
          </w:p>
        </w:tc>
        <w:tc>
          <w:tcPr>
            <w:tcW w:w="1559" w:type="dxa"/>
            <w:vMerge/>
          </w:tcPr>
          <w:p w14:paraId="78219D6C" w14:textId="77777777" w:rsidR="00892286" w:rsidRPr="00892286" w:rsidRDefault="00892286" w:rsidP="00892286">
            <w:pPr>
              <w:jc w:val="center"/>
            </w:pPr>
          </w:p>
        </w:tc>
        <w:tc>
          <w:tcPr>
            <w:tcW w:w="3623" w:type="dxa"/>
          </w:tcPr>
          <w:p w14:paraId="3CA13298" w14:textId="77777777" w:rsidR="00892286" w:rsidRPr="00892286" w:rsidRDefault="00892286" w:rsidP="00892286">
            <w:pPr>
              <w:jc w:val="left"/>
            </w:pPr>
            <w:r w:rsidRPr="00892286">
              <w:t>понад 50 000 000 грн</w:t>
            </w:r>
          </w:p>
        </w:tc>
        <w:tc>
          <w:tcPr>
            <w:tcW w:w="2456" w:type="dxa"/>
            <w:vMerge/>
          </w:tcPr>
          <w:p w14:paraId="0F1EBC86" w14:textId="77777777" w:rsidR="00892286" w:rsidRPr="00892286" w:rsidRDefault="00892286" w:rsidP="00892286">
            <w:pPr>
              <w:jc w:val="center"/>
            </w:pPr>
          </w:p>
        </w:tc>
        <w:tc>
          <w:tcPr>
            <w:tcW w:w="1485" w:type="dxa"/>
          </w:tcPr>
          <w:p w14:paraId="29332936" w14:textId="77777777" w:rsidR="00892286" w:rsidRPr="00892286" w:rsidRDefault="00892286" w:rsidP="00892286">
            <w:pPr>
              <w:jc w:val="center"/>
            </w:pPr>
            <w:r w:rsidRPr="00892286">
              <w:t>400 грн</w:t>
            </w:r>
          </w:p>
        </w:tc>
      </w:tr>
      <w:tr w:rsidR="00892286" w:rsidRPr="00892286" w14:paraId="5E90DBF3" w14:textId="77777777" w:rsidTr="00CB3A19">
        <w:tc>
          <w:tcPr>
            <w:tcW w:w="653" w:type="dxa"/>
          </w:tcPr>
          <w:p w14:paraId="41F3238E" w14:textId="77777777" w:rsidR="00892286" w:rsidRPr="00892286" w:rsidRDefault="00892286" w:rsidP="00892286">
            <w:pPr>
              <w:jc w:val="center"/>
            </w:pPr>
            <w:r w:rsidRPr="00892286">
              <w:t>9</w:t>
            </w:r>
          </w:p>
        </w:tc>
        <w:tc>
          <w:tcPr>
            <w:tcW w:w="1559" w:type="dxa"/>
          </w:tcPr>
          <w:p w14:paraId="27A7E95C" w14:textId="77777777" w:rsidR="00892286" w:rsidRPr="00892286" w:rsidRDefault="00892286" w:rsidP="00892286">
            <w:pPr>
              <w:jc w:val="center"/>
            </w:pPr>
            <w:r w:rsidRPr="00892286">
              <w:t>6</w:t>
            </w:r>
          </w:p>
        </w:tc>
        <w:tc>
          <w:tcPr>
            <w:tcW w:w="3623" w:type="dxa"/>
          </w:tcPr>
          <w:p w14:paraId="6FB0420A" w14:textId="77777777" w:rsidR="00892286" w:rsidRPr="00892286" w:rsidRDefault="00892286" w:rsidP="00892286">
            <w:pPr>
              <w:jc w:val="left"/>
            </w:pPr>
            <w:r w:rsidRPr="00892286">
              <w:t>Зберігання цінних паперів на рахунку в цінних паперах депозитарної установи</w:t>
            </w:r>
          </w:p>
        </w:tc>
        <w:tc>
          <w:tcPr>
            <w:tcW w:w="2456" w:type="dxa"/>
          </w:tcPr>
          <w:p w14:paraId="57E26EBF" w14:textId="77777777" w:rsidR="00892286" w:rsidRPr="00892286" w:rsidRDefault="00892286" w:rsidP="00892286">
            <w:pPr>
              <w:jc w:val="center"/>
            </w:pPr>
            <w:r w:rsidRPr="00892286">
              <w:rPr>
                <w:color w:val="333333"/>
                <w:shd w:val="clear" w:color="auto" w:fill="FFFFFF"/>
              </w:rPr>
              <w:t>% від середньої номінально-амортизаційної вартості цінних паперів за розрахунковий період</w:t>
            </w:r>
          </w:p>
        </w:tc>
        <w:tc>
          <w:tcPr>
            <w:tcW w:w="1485" w:type="dxa"/>
          </w:tcPr>
          <w:p w14:paraId="24BF6BA2" w14:textId="77777777" w:rsidR="00892286" w:rsidRPr="00892286" w:rsidRDefault="00892286" w:rsidP="00892286">
            <w:pPr>
              <w:jc w:val="center"/>
            </w:pPr>
            <w:r w:rsidRPr="00892286">
              <w:t>0,00028%</w:t>
            </w:r>
          </w:p>
        </w:tc>
      </w:tr>
      <w:tr w:rsidR="00892286" w:rsidRPr="00892286" w14:paraId="4506C6DB" w14:textId="77777777" w:rsidTr="00CB3A19">
        <w:tc>
          <w:tcPr>
            <w:tcW w:w="653" w:type="dxa"/>
          </w:tcPr>
          <w:p w14:paraId="7652D8A8" w14:textId="77777777" w:rsidR="00892286" w:rsidRPr="00892286" w:rsidRDefault="00892286" w:rsidP="00892286">
            <w:pPr>
              <w:jc w:val="center"/>
            </w:pPr>
            <w:r w:rsidRPr="00892286">
              <w:t>10</w:t>
            </w:r>
          </w:p>
        </w:tc>
        <w:tc>
          <w:tcPr>
            <w:tcW w:w="1559" w:type="dxa"/>
          </w:tcPr>
          <w:p w14:paraId="634EAE00" w14:textId="77777777" w:rsidR="00892286" w:rsidRPr="00892286" w:rsidRDefault="00892286" w:rsidP="00892286">
            <w:pPr>
              <w:jc w:val="center"/>
            </w:pPr>
            <w:r w:rsidRPr="00892286">
              <w:t>7</w:t>
            </w:r>
          </w:p>
        </w:tc>
        <w:tc>
          <w:tcPr>
            <w:tcW w:w="3623" w:type="dxa"/>
          </w:tcPr>
          <w:p w14:paraId="5C761156" w14:textId="2A7BD23D" w:rsidR="00892286" w:rsidRPr="00892286" w:rsidRDefault="00892286" w:rsidP="000D77DF">
            <w:pPr>
              <w:jc w:val="left"/>
            </w:pPr>
            <w:r w:rsidRPr="00892286">
              <w:t>Обслуговування</w:t>
            </w:r>
            <w:r w:rsidRPr="00892286">
              <w:rPr>
                <w:lang w:val="ru-RU"/>
              </w:rPr>
              <w:t xml:space="preserve"> </w:t>
            </w:r>
            <w:r w:rsidRPr="00892286">
              <w:t>розрахунків у цінних</w:t>
            </w:r>
            <w:r w:rsidRPr="00892286">
              <w:rPr>
                <w:lang w:val="ru-RU"/>
              </w:rPr>
              <w:t xml:space="preserve"> </w:t>
            </w:r>
            <w:r w:rsidRPr="00892286">
              <w:t>паперах, номінованих у</w:t>
            </w:r>
            <w:r w:rsidRPr="00892286">
              <w:rPr>
                <w:lang w:val="ru-RU"/>
              </w:rPr>
              <w:t xml:space="preserve"> </w:t>
            </w:r>
            <w:r w:rsidRPr="00892286">
              <w:t>національній валюті, якщо</w:t>
            </w:r>
            <w:r w:rsidRPr="00892286">
              <w:rPr>
                <w:lang w:val="ru-RU"/>
              </w:rPr>
              <w:t xml:space="preserve"> </w:t>
            </w:r>
            <w:r w:rsidRPr="00892286">
              <w:t>такі розрахунки проведені в</w:t>
            </w:r>
            <w:r w:rsidRPr="00892286">
              <w:rPr>
                <w:lang w:val="ru-RU"/>
              </w:rPr>
              <w:t xml:space="preserve"> </w:t>
            </w:r>
            <w:r w:rsidRPr="00892286">
              <w:t>межах однієї депозитарної</w:t>
            </w:r>
            <w:r w:rsidRPr="00892286">
              <w:rPr>
                <w:lang w:val="ru-RU"/>
              </w:rPr>
              <w:t xml:space="preserve"> </w:t>
            </w:r>
            <w:r w:rsidRPr="00892286">
              <w:t>установи за принципом</w:t>
            </w:r>
            <w:r w:rsidRPr="00892286">
              <w:rPr>
                <w:lang w:val="ru-RU"/>
              </w:rPr>
              <w:t xml:space="preserve"> </w:t>
            </w:r>
            <w:r w:rsidR="00CC0CDB" w:rsidRPr="00CC0CDB">
              <w:rPr>
                <w:lang w:val="ru-RU"/>
              </w:rPr>
              <w:t>“</w:t>
            </w:r>
            <w:r w:rsidRPr="00892286">
              <w:t>поставка цінних паперів без оплати</w:t>
            </w:r>
            <w:r w:rsidR="00CC0CDB" w:rsidRPr="00CC0CDB">
              <w:rPr>
                <w:lang w:val="ru-RU"/>
              </w:rPr>
              <w:t>”</w:t>
            </w:r>
            <w:r w:rsidRPr="00892286">
              <w:t>, за</w:t>
            </w:r>
            <w:r w:rsidRPr="00892286">
              <w:rPr>
                <w:lang w:val="ru-RU"/>
              </w:rPr>
              <w:t xml:space="preserve"> </w:t>
            </w:r>
            <w:r w:rsidRPr="00892286">
              <w:t>правочинами, укладеними поза організованим ринком капіталу (</w:t>
            </w:r>
            <w:r w:rsidR="005E097D">
              <w:t>і</w:t>
            </w:r>
            <w:r w:rsidRPr="00892286">
              <w:t>з переходом права власності</w:t>
            </w:r>
            <w:r w:rsidRPr="00DB361D">
              <w:t>) у</w:t>
            </w:r>
            <w:r w:rsidRPr="00892286">
              <w:t xml:space="preserve"> випадках, передбачених законодавством України</w:t>
            </w:r>
          </w:p>
        </w:tc>
        <w:tc>
          <w:tcPr>
            <w:tcW w:w="2456" w:type="dxa"/>
          </w:tcPr>
          <w:p w14:paraId="3883FA31" w14:textId="77777777" w:rsidR="00892286" w:rsidRPr="00892286" w:rsidRDefault="00892286" w:rsidP="00445E19">
            <w:pPr>
              <w:ind w:left="-140" w:right="-38"/>
              <w:jc w:val="center"/>
            </w:pPr>
            <w:r w:rsidRPr="00892286">
              <w:rPr>
                <w:color w:val="333333"/>
                <w:shd w:val="clear" w:color="auto" w:fill="FFFFFF"/>
              </w:rPr>
              <w:t>1 операція/правочин щодо кожної сторони</w:t>
            </w:r>
          </w:p>
        </w:tc>
        <w:tc>
          <w:tcPr>
            <w:tcW w:w="1485" w:type="dxa"/>
          </w:tcPr>
          <w:p w14:paraId="3A21FD7F" w14:textId="77777777" w:rsidR="00892286" w:rsidRPr="00892286" w:rsidRDefault="00892286" w:rsidP="00892286">
            <w:pPr>
              <w:jc w:val="center"/>
            </w:pPr>
            <w:r w:rsidRPr="00892286">
              <w:t>30 грн</w:t>
            </w:r>
          </w:p>
        </w:tc>
      </w:tr>
      <w:tr w:rsidR="00892286" w:rsidRPr="00892286" w14:paraId="28D4B22B" w14:textId="77777777" w:rsidTr="00CB3A19">
        <w:tc>
          <w:tcPr>
            <w:tcW w:w="653" w:type="dxa"/>
          </w:tcPr>
          <w:p w14:paraId="3007919B" w14:textId="77777777" w:rsidR="00892286" w:rsidRPr="00892286" w:rsidRDefault="00892286" w:rsidP="00892286">
            <w:pPr>
              <w:jc w:val="center"/>
            </w:pPr>
            <w:r w:rsidRPr="00892286">
              <w:t>11</w:t>
            </w:r>
          </w:p>
        </w:tc>
        <w:tc>
          <w:tcPr>
            <w:tcW w:w="1559" w:type="dxa"/>
          </w:tcPr>
          <w:p w14:paraId="2D69BD2E" w14:textId="77777777" w:rsidR="00892286" w:rsidRPr="00892286" w:rsidRDefault="00892286" w:rsidP="00892286">
            <w:pPr>
              <w:jc w:val="center"/>
            </w:pPr>
            <w:r w:rsidRPr="00892286">
              <w:t>8</w:t>
            </w:r>
          </w:p>
        </w:tc>
        <w:tc>
          <w:tcPr>
            <w:tcW w:w="3623" w:type="dxa"/>
          </w:tcPr>
          <w:p w14:paraId="4C8B4755" w14:textId="77777777" w:rsidR="00892286" w:rsidRPr="00892286" w:rsidRDefault="00892286" w:rsidP="00892286">
            <w:pPr>
              <w:jc w:val="left"/>
            </w:pPr>
            <w:r w:rsidRPr="00892286">
              <w:t>Проведення облікових</w:t>
            </w:r>
            <w:r w:rsidRPr="00892286">
              <w:rPr>
                <w:lang w:val="ru-RU"/>
              </w:rPr>
              <w:t xml:space="preserve"> </w:t>
            </w:r>
            <w:r w:rsidRPr="00892286">
              <w:t>операцій щодо державних</w:t>
            </w:r>
            <w:r w:rsidRPr="00892286">
              <w:rPr>
                <w:lang w:val="ru-RU"/>
              </w:rPr>
              <w:t xml:space="preserve"> </w:t>
            </w:r>
            <w:r w:rsidRPr="00892286">
              <w:t>цінних паперів, розміщених за межами України</w:t>
            </w:r>
          </w:p>
        </w:tc>
        <w:tc>
          <w:tcPr>
            <w:tcW w:w="2456" w:type="dxa"/>
          </w:tcPr>
          <w:p w14:paraId="163C5582" w14:textId="77777777" w:rsidR="00892286" w:rsidRPr="00892286" w:rsidRDefault="00892286" w:rsidP="00892286">
            <w:pPr>
              <w:jc w:val="center"/>
            </w:pPr>
            <w:r w:rsidRPr="00892286">
              <w:rPr>
                <w:color w:val="333333"/>
                <w:shd w:val="clear" w:color="auto" w:fill="FFFFFF"/>
              </w:rPr>
              <w:t>1 розпорядження</w:t>
            </w:r>
          </w:p>
        </w:tc>
        <w:tc>
          <w:tcPr>
            <w:tcW w:w="1485" w:type="dxa"/>
          </w:tcPr>
          <w:p w14:paraId="23A91699" w14:textId="77777777" w:rsidR="00892286" w:rsidRPr="00892286" w:rsidRDefault="00892286" w:rsidP="00892286">
            <w:pPr>
              <w:jc w:val="center"/>
            </w:pPr>
            <w:r w:rsidRPr="00892286">
              <w:t>18 EUR</w:t>
            </w:r>
          </w:p>
        </w:tc>
      </w:tr>
      <w:tr w:rsidR="00892286" w:rsidRPr="00892286" w14:paraId="58BA2488" w14:textId="77777777" w:rsidTr="00CB3A19">
        <w:tc>
          <w:tcPr>
            <w:tcW w:w="653" w:type="dxa"/>
          </w:tcPr>
          <w:p w14:paraId="02C3D326" w14:textId="77777777" w:rsidR="00892286" w:rsidRPr="00892286" w:rsidRDefault="00892286" w:rsidP="00892286">
            <w:pPr>
              <w:jc w:val="center"/>
            </w:pPr>
            <w:r w:rsidRPr="00892286">
              <w:t>12</w:t>
            </w:r>
          </w:p>
        </w:tc>
        <w:tc>
          <w:tcPr>
            <w:tcW w:w="1559" w:type="dxa"/>
          </w:tcPr>
          <w:p w14:paraId="2D87FCC6" w14:textId="77777777" w:rsidR="00892286" w:rsidRPr="00892286" w:rsidRDefault="00892286" w:rsidP="00892286">
            <w:pPr>
              <w:jc w:val="center"/>
            </w:pPr>
            <w:r w:rsidRPr="00892286">
              <w:t>9</w:t>
            </w:r>
          </w:p>
        </w:tc>
        <w:tc>
          <w:tcPr>
            <w:tcW w:w="3623" w:type="dxa"/>
          </w:tcPr>
          <w:p w14:paraId="54F8F29A" w14:textId="77777777" w:rsidR="00892286" w:rsidRPr="00892286" w:rsidRDefault="00892286" w:rsidP="00892286">
            <w:pPr>
              <w:jc w:val="left"/>
            </w:pPr>
            <w:r w:rsidRPr="00892286">
              <w:t>Зберігання (облік)</w:t>
            </w:r>
            <w:r w:rsidRPr="00892286">
              <w:rPr>
                <w:lang w:val="ru-RU"/>
              </w:rPr>
              <w:t xml:space="preserve"> </w:t>
            </w:r>
            <w:r w:rsidRPr="00892286">
              <w:t>державних цінних паперів, розміщених за межами</w:t>
            </w:r>
            <w:r w:rsidRPr="00892286">
              <w:rPr>
                <w:lang w:val="ru-RU"/>
              </w:rPr>
              <w:t xml:space="preserve"> </w:t>
            </w:r>
            <w:r w:rsidRPr="00892286">
              <w:t>України</w:t>
            </w:r>
          </w:p>
        </w:tc>
        <w:tc>
          <w:tcPr>
            <w:tcW w:w="2456" w:type="dxa"/>
          </w:tcPr>
          <w:p w14:paraId="6D7FD10A" w14:textId="77777777" w:rsidR="00892286" w:rsidRPr="00892286" w:rsidRDefault="00892286" w:rsidP="00892286">
            <w:pPr>
              <w:jc w:val="center"/>
            </w:pPr>
            <w:r w:rsidRPr="00892286">
              <w:rPr>
                <w:color w:val="333333"/>
                <w:shd w:val="clear" w:color="auto" w:fill="FFFFFF"/>
              </w:rPr>
              <w:t>% від середньої номінальної вартості цінних паперів за розрахунковий період</w:t>
            </w:r>
          </w:p>
        </w:tc>
        <w:tc>
          <w:tcPr>
            <w:tcW w:w="1485" w:type="dxa"/>
          </w:tcPr>
          <w:p w14:paraId="5B835754" w14:textId="77777777" w:rsidR="00892286" w:rsidRPr="00892286" w:rsidRDefault="00892286" w:rsidP="00892286">
            <w:pPr>
              <w:jc w:val="center"/>
            </w:pPr>
            <w:r w:rsidRPr="00892286">
              <w:t>0,001 %</w:t>
            </w:r>
          </w:p>
        </w:tc>
      </w:tr>
      <w:tr w:rsidR="00892286" w:rsidRPr="00892286" w14:paraId="7807983B" w14:textId="77777777" w:rsidTr="00CB3A19">
        <w:tc>
          <w:tcPr>
            <w:tcW w:w="653" w:type="dxa"/>
          </w:tcPr>
          <w:p w14:paraId="78184846" w14:textId="77777777" w:rsidR="00892286" w:rsidRPr="00892286" w:rsidRDefault="00892286" w:rsidP="00892286">
            <w:pPr>
              <w:jc w:val="center"/>
            </w:pPr>
            <w:r w:rsidRPr="00892286">
              <w:t>13</w:t>
            </w:r>
          </w:p>
        </w:tc>
        <w:tc>
          <w:tcPr>
            <w:tcW w:w="1559" w:type="dxa"/>
          </w:tcPr>
          <w:p w14:paraId="5699A196" w14:textId="77777777" w:rsidR="00892286" w:rsidRPr="00892286" w:rsidRDefault="00892286" w:rsidP="00892286">
            <w:pPr>
              <w:jc w:val="center"/>
            </w:pPr>
            <w:r w:rsidRPr="00892286">
              <w:t>10</w:t>
            </w:r>
          </w:p>
        </w:tc>
        <w:tc>
          <w:tcPr>
            <w:tcW w:w="3623" w:type="dxa"/>
          </w:tcPr>
          <w:p w14:paraId="5ED8D095" w14:textId="77777777" w:rsidR="00892286" w:rsidRPr="00892286" w:rsidRDefault="00892286" w:rsidP="00892286">
            <w:pPr>
              <w:jc w:val="left"/>
            </w:pPr>
            <w:r w:rsidRPr="00892286">
              <w:t>Обслуговування грошових розрахунків щодо</w:t>
            </w:r>
            <w:r w:rsidRPr="00892286">
              <w:rPr>
                <w:lang w:val="ru-RU"/>
              </w:rPr>
              <w:t xml:space="preserve"> </w:t>
            </w:r>
            <w:r w:rsidRPr="00892286">
              <w:t>державних цінних паперів, розміщених за межами</w:t>
            </w:r>
            <w:r w:rsidRPr="00892286">
              <w:rPr>
                <w:lang w:val="ru-RU"/>
              </w:rPr>
              <w:t xml:space="preserve"> </w:t>
            </w:r>
            <w:r w:rsidRPr="00892286">
              <w:t>України</w:t>
            </w:r>
          </w:p>
        </w:tc>
        <w:tc>
          <w:tcPr>
            <w:tcW w:w="2456" w:type="dxa"/>
          </w:tcPr>
          <w:p w14:paraId="3EC6BCD8" w14:textId="77777777" w:rsidR="00892286" w:rsidRPr="00892286" w:rsidRDefault="00892286" w:rsidP="00892286">
            <w:pPr>
              <w:jc w:val="center"/>
            </w:pPr>
            <w:r w:rsidRPr="00892286">
              <w:rPr>
                <w:color w:val="333333"/>
                <w:shd w:val="clear" w:color="auto" w:fill="FFFFFF"/>
              </w:rPr>
              <w:t>1 розпорядження</w:t>
            </w:r>
          </w:p>
        </w:tc>
        <w:tc>
          <w:tcPr>
            <w:tcW w:w="1485" w:type="dxa"/>
          </w:tcPr>
          <w:p w14:paraId="694786B4" w14:textId="77777777" w:rsidR="00892286" w:rsidRPr="00892286" w:rsidRDefault="00892286" w:rsidP="00892286">
            <w:pPr>
              <w:jc w:val="center"/>
            </w:pPr>
            <w:r w:rsidRPr="00892286">
              <w:t>25 EUR + додаткові витрати</w:t>
            </w:r>
          </w:p>
        </w:tc>
      </w:tr>
    </w:tbl>
    <w:p w14:paraId="5667FE67" w14:textId="77777777" w:rsidR="00CB3A19" w:rsidRDefault="00CB3A19" w:rsidP="00CC0CDB">
      <w:pPr>
        <w:jc w:val="center"/>
        <w:sectPr w:rsidR="00CB3A19" w:rsidSect="000B0AB7">
          <w:headerReference w:type="default" r:id="rId16"/>
          <w:headerReference w:type="first" r:id="rId17"/>
          <w:pgSz w:w="11906" w:h="16838" w:code="9"/>
          <w:pgMar w:top="567" w:right="567" w:bottom="1701" w:left="1701" w:header="283" w:footer="709" w:gutter="0"/>
          <w:pgNumType w:start="1"/>
          <w:cols w:space="708"/>
          <w:titlePg/>
          <w:docGrid w:linePitch="381"/>
        </w:sectPr>
      </w:pPr>
    </w:p>
    <w:p w14:paraId="4770E7DF" w14:textId="2C5CBE05" w:rsidR="00CC0CDB" w:rsidRDefault="00CC0CDB" w:rsidP="00CB3A19">
      <w:pPr>
        <w:pStyle w:val="af3"/>
        <w:keepNext/>
        <w:numPr>
          <w:ilvl w:val="0"/>
          <w:numId w:val="4"/>
        </w:numPr>
        <w:tabs>
          <w:tab w:val="left" w:pos="851"/>
        </w:tabs>
        <w:ind w:left="0" w:firstLine="567"/>
      </w:pPr>
      <w:r>
        <w:t>Тариф на послуги (операції), зазначен</w:t>
      </w:r>
      <w:r w:rsidR="0079249C">
        <w:t>ий</w:t>
      </w:r>
      <w:r>
        <w:t xml:space="preserve"> в рядку 4 таблиці 1</w:t>
      </w:r>
      <w:r w:rsidR="00AA74FF">
        <w:t xml:space="preserve"> розділу </w:t>
      </w:r>
      <w:r w:rsidR="00AA74FF">
        <w:rPr>
          <w:lang w:val="en-US"/>
        </w:rPr>
        <w:t>I</w:t>
      </w:r>
      <w:r w:rsidR="004C6A07">
        <w:t xml:space="preserve"> цих Тарифів</w:t>
      </w:r>
      <w:r>
        <w:t xml:space="preserve">, не застосовується до послуг (операцій) з обслуговування розрахунків у цінних паперах, номінованих у національній валюті, якщо такі розрахунки проведені в межах однієї депозитарної установи. За такими послугами </w:t>
      </w:r>
      <w:r w:rsidR="007E6FB2">
        <w:t xml:space="preserve">(операціями) </w:t>
      </w:r>
      <w:r>
        <w:t>застосовується тариф, зазначений у рядку 10 таблиці 1</w:t>
      </w:r>
      <w:r w:rsidR="00305F10">
        <w:t xml:space="preserve"> розділу </w:t>
      </w:r>
      <w:r w:rsidR="00305F10">
        <w:rPr>
          <w:lang w:val="en-US"/>
        </w:rPr>
        <w:t>I</w:t>
      </w:r>
      <w:r w:rsidR="00305F10">
        <w:t xml:space="preserve"> цих Тарифів</w:t>
      </w:r>
      <w:r>
        <w:t>.</w:t>
      </w:r>
    </w:p>
    <w:p w14:paraId="517C3D0A" w14:textId="77777777" w:rsidR="00CC0CDB" w:rsidRDefault="00CC0CDB" w:rsidP="00CC0CDB">
      <w:pPr>
        <w:pStyle w:val="af3"/>
      </w:pPr>
    </w:p>
    <w:p w14:paraId="263E791C" w14:textId="130066AE" w:rsidR="00CC0CDB" w:rsidRDefault="00CC0CDB" w:rsidP="00CC0CDB">
      <w:pPr>
        <w:ind w:firstLine="567"/>
      </w:pPr>
      <w:r>
        <w:t>2. До додаткових витрат, зазначених у колонці 5 рядка 13 таблиці 1</w:t>
      </w:r>
      <w:r w:rsidR="00C435DF">
        <w:t xml:space="preserve"> розділу </w:t>
      </w:r>
      <w:r w:rsidR="00C435DF">
        <w:rPr>
          <w:lang w:val="en-US"/>
        </w:rPr>
        <w:t>I</w:t>
      </w:r>
      <w:r w:rsidR="00C435DF">
        <w:t xml:space="preserve"> цих Тарифів</w:t>
      </w:r>
      <w:r>
        <w:t xml:space="preserve">, </w:t>
      </w:r>
      <w:r w:rsidR="005F6ECD">
        <w:t xml:space="preserve">належать </w:t>
      </w:r>
      <w:r>
        <w:t>витрати іноземного депозитарію, якщо немає прямих кореспондентських відносин між іноземним депозитарієм та банком-кореспондентом Національного банку.</w:t>
      </w:r>
    </w:p>
    <w:p w14:paraId="45B8DDCB" w14:textId="77777777" w:rsidR="00CC0CDB" w:rsidRDefault="00CC0CDB" w:rsidP="00CC0CDB">
      <w:pPr>
        <w:jc w:val="center"/>
      </w:pPr>
    </w:p>
    <w:p w14:paraId="60219E8B" w14:textId="116FEE3E" w:rsidR="00FA508E" w:rsidRDefault="00CC0CDB" w:rsidP="00CC0CDB">
      <w:pPr>
        <w:jc w:val="center"/>
      </w:pPr>
      <w:r>
        <w:t>II. Тарифи на послуги (операції) із депозитарного обслуговування іноземного депозитарію, що надаються (здійснюються) Національним банком як депозитарієм, а також на послуги із депозитарного обслуговування номінальних утримувачів та депонентів</w:t>
      </w:r>
      <w:r w:rsidR="005F6ECD">
        <w:t>-</w:t>
      </w:r>
      <w:r>
        <w:t>нерезидентів, що надаються (здійснюються) Національним банком як депозитарною установою</w:t>
      </w:r>
    </w:p>
    <w:p w14:paraId="04CC269F" w14:textId="77777777" w:rsidR="00CB3A19" w:rsidRDefault="00CB3A19" w:rsidP="00CC0CDB">
      <w:pPr>
        <w:jc w:val="center"/>
        <w:sectPr w:rsidR="00CB3A19" w:rsidSect="000B0AB7">
          <w:headerReference w:type="default" r:id="rId18"/>
          <w:headerReference w:type="first" r:id="rId19"/>
          <w:type w:val="continuous"/>
          <w:pgSz w:w="11906" w:h="16838" w:code="9"/>
          <w:pgMar w:top="567" w:right="567" w:bottom="1701" w:left="1701" w:header="283" w:footer="709" w:gutter="0"/>
          <w:cols w:space="708"/>
          <w:titlePg/>
          <w:docGrid w:linePitch="381"/>
        </w:sectPr>
      </w:pPr>
    </w:p>
    <w:p w14:paraId="26F2595C" w14:textId="77777777" w:rsidR="00CC0CDB" w:rsidRDefault="00CC0CDB" w:rsidP="00CC0CDB">
      <w:pPr>
        <w:jc w:val="center"/>
      </w:pPr>
    </w:p>
    <w:p w14:paraId="3A5AEFB8" w14:textId="77777777" w:rsidR="00CC0CDB" w:rsidRPr="00721FB2" w:rsidRDefault="00CC0CDB" w:rsidP="00CC0CDB">
      <w:pPr>
        <w:pStyle w:val="rvps2"/>
        <w:shd w:val="clear" w:color="auto" w:fill="FFFFFF"/>
        <w:spacing w:before="0" w:beforeAutospacing="0" w:after="150" w:afterAutospacing="0"/>
        <w:ind w:firstLine="450"/>
        <w:jc w:val="right"/>
        <w:rPr>
          <w:color w:val="333333"/>
          <w:sz w:val="28"/>
          <w:szCs w:val="28"/>
          <w:lang w:val="uk-UA"/>
        </w:rPr>
      </w:pPr>
      <w:r>
        <w:rPr>
          <w:sz w:val="28"/>
          <w:szCs w:val="28"/>
          <w:lang w:val="uk-UA"/>
        </w:rPr>
        <w:t>Таблиця 2</w:t>
      </w:r>
    </w:p>
    <w:tbl>
      <w:tblPr>
        <w:tblStyle w:val="a9"/>
        <w:tblW w:w="9634" w:type="dxa"/>
        <w:tblBorders>
          <w:bottom w:val="none" w:sz="0" w:space="0" w:color="auto"/>
        </w:tblBorders>
        <w:tblLayout w:type="fixed"/>
        <w:tblLook w:val="04A0" w:firstRow="1" w:lastRow="0" w:firstColumn="1" w:lastColumn="0" w:noHBand="0" w:noVBand="1"/>
      </w:tblPr>
      <w:tblGrid>
        <w:gridCol w:w="562"/>
        <w:gridCol w:w="1635"/>
        <w:gridCol w:w="3752"/>
        <w:gridCol w:w="2268"/>
        <w:gridCol w:w="1417"/>
      </w:tblGrid>
      <w:tr w:rsidR="00CC0CDB" w:rsidRPr="00CC0CDB" w14:paraId="57FD252E" w14:textId="77777777" w:rsidTr="003B45D0">
        <w:tc>
          <w:tcPr>
            <w:tcW w:w="562" w:type="dxa"/>
          </w:tcPr>
          <w:p w14:paraId="4DAB42C1" w14:textId="77777777" w:rsidR="00CC0CDB" w:rsidRPr="00CC0CDB" w:rsidRDefault="00CC0CDB" w:rsidP="00CC0CDB">
            <w:pPr>
              <w:jc w:val="center"/>
              <w:rPr>
                <w:lang w:val="ru-RU"/>
              </w:rPr>
            </w:pPr>
            <w:r w:rsidRPr="00CC0CDB">
              <w:t>№ з/п</w:t>
            </w:r>
          </w:p>
        </w:tc>
        <w:tc>
          <w:tcPr>
            <w:tcW w:w="1635" w:type="dxa"/>
          </w:tcPr>
          <w:p w14:paraId="3E2CC8F2" w14:textId="77777777" w:rsidR="00CC0CDB" w:rsidRPr="00CC0CDB" w:rsidRDefault="00CC0CDB" w:rsidP="00CC0CDB">
            <w:pPr>
              <w:jc w:val="center"/>
              <w:rPr>
                <w:lang w:val="ru-RU"/>
              </w:rPr>
            </w:pPr>
            <w:r w:rsidRPr="00CC0CDB">
              <w:t>№ послуги (операції)</w:t>
            </w:r>
          </w:p>
        </w:tc>
        <w:tc>
          <w:tcPr>
            <w:tcW w:w="3752" w:type="dxa"/>
          </w:tcPr>
          <w:p w14:paraId="5725B5CB" w14:textId="77777777" w:rsidR="00CC0CDB" w:rsidRPr="00CC0CDB" w:rsidRDefault="00CC0CDB" w:rsidP="00CC0CDB">
            <w:pPr>
              <w:jc w:val="center"/>
              <w:rPr>
                <w:lang w:val="ru-RU"/>
              </w:rPr>
            </w:pPr>
            <w:r w:rsidRPr="00CC0CDB">
              <w:t>Найменування послуг (операцій)</w:t>
            </w:r>
          </w:p>
        </w:tc>
        <w:tc>
          <w:tcPr>
            <w:tcW w:w="2268" w:type="dxa"/>
          </w:tcPr>
          <w:p w14:paraId="5CBC0A55" w14:textId="77777777" w:rsidR="00CC0CDB" w:rsidRPr="00CC0CDB" w:rsidRDefault="00CC0CDB" w:rsidP="00CC0CDB">
            <w:pPr>
              <w:jc w:val="center"/>
              <w:rPr>
                <w:lang w:val="ru-RU"/>
              </w:rPr>
            </w:pPr>
            <w:r w:rsidRPr="00CC0CDB">
              <w:t>Одиниця виміру</w:t>
            </w:r>
          </w:p>
        </w:tc>
        <w:tc>
          <w:tcPr>
            <w:tcW w:w="1417" w:type="dxa"/>
          </w:tcPr>
          <w:p w14:paraId="34E533B3" w14:textId="77777777" w:rsidR="00CC0CDB" w:rsidRPr="00CC0CDB" w:rsidRDefault="00CC0CDB" w:rsidP="00CC0CDB">
            <w:pPr>
              <w:jc w:val="center"/>
              <w:rPr>
                <w:lang w:val="ru-RU"/>
              </w:rPr>
            </w:pPr>
            <w:r w:rsidRPr="00CC0CDB">
              <w:t>Тарифи</w:t>
            </w:r>
          </w:p>
        </w:tc>
      </w:tr>
    </w:tbl>
    <w:p w14:paraId="258836AC" w14:textId="77777777" w:rsidR="00CB3A19" w:rsidRPr="00CB3A19" w:rsidRDefault="00CB3A19">
      <w:pPr>
        <w:rPr>
          <w:sz w:val="2"/>
        </w:rPr>
      </w:pPr>
    </w:p>
    <w:tbl>
      <w:tblPr>
        <w:tblStyle w:val="a9"/>
        <w:tblW w:w="9634" w:type="dxa"/>
        <w:tblLayout w:type="fixed"/>
        <w:tblLook w:val="04A0" w:firstRow="1" w:lastRow="0" w:firstColumn="1" w:lastColumn="0" w:noHBand="0" w:noVBand="1"/>
      </w:tblPr>
      <w:tblGrid>
        <w:gridCol w:w="562"/>
        <w:gridCol w:w="1628"/>
        <w:gridCol w:w="3759"/>
        <w:gridCol w:w="2268"/>
        <w:gridCol w:w="1417"/>
      </w:tblGrid>
      <w:tr w:rsidR="0016054F" w:rsidRPr="00CC0CDB" w14:paraId="3BDE72EF" w14:textId="77777777" w:rsidTr="007E6FB2">
        <w:trPr>
          <w:tblHeader/>
        </w:trPr>
        <w:tc>
          <w:tcPr>
            <w:tcW w:w="562" w:type="dxa"/>
          </w:tcPr>
          <w:p w14:paraId="75A6199B" w14:textId="77777777" w:rsidR="00CC0CDB" w:rsidRPr="00CC0CDB" w:rsidRDefault="00CC0CDB" w:rsidP="00CC0CDB">
            <w:pPr>
              <w:jc w:val="center"/>
              <w:rPr>
                <w:lang w:val="en-US"/>
              </w:rPr>
            </w:pPr>
            <w:r w:rsidRPr="00CC0CDB">
              <w:rPr>
                <w:lang w:val="en-US"/>
              </w:rPr>
              <w:t>1</w:t>
            </w:r>
          </w:p>
        </w:tc>
        <w:tc>
          <w:tcPr>
            <w:tcW w:w="1628" w:type="dxa"/>
          </w:tcPr>
          <w:p w14:paraId="00314733" w14:textId="77777777" w:rsidR="00CC0CDB" w:rsidRPr="00CC0CDB" w:rsidRDefault="00CC0CDB" w:rsidP="00CC0CDB">
            <w:pPr>
              <w:jc w:val="center"/>
              <w:rPr>
                <w:lang w:val="en-US"/>
              </w:rPr>
            </w:pPr>
            <w:r w:rsidRPr="00CC0CDB">
              <w:rPr>
                <w:lang w:val="en-US"/>
              </w:rPr>
              <w:t>2</w:t>
            </w:r>
          </w:p>
        </w:tc>
        <w:tc>
          <w:tcPr>
            <w:tcW w:w="3759" w:type="dxa"/>
          </w:tcPr>
          <w:p w14:paraId="7D85149D" w14:textId="77777777" w:rsidR="00CC0CDB" w:rsidRPr="00CC0CDB" w:rsidRDefault="00CC0CDB" w:rsidP="00CC0CDB">
            <w:pPr>
              <w:jc w:val="center"/>
              <w:rPr>
                <w:lang w:val="en-US"/>
              </w:rPr>
            </w:pPr>
            <w:r w:rsidRPr="00CC0CDB">
              <w:rPr>
                <w:lang w:val="en-US"/>
              </w:rPr>
              <w:t>3</w:t>
            </w:r>
          </w:p>
        </w:tc>
        <w:tc>
          <w:tcPr>
            <w:tcW w:w="2268" w:type="dxa"/>
          </w:tcPr>
          <w:p w14:paraId="7574C7DD" w14:textId="77777777" w:rsidR="00CC0CDB" w:rsidRPr="00CC0CDB" w:rsidRDefault="00CC0CDB" w:rsidP="00CC0CDB">
            <w:pPr>
              <w:jc w:val="center"/>
              <w:rPr>
                <w:lang w:val="en-US"/>
              </w:rPr>
            </w:pPr>
            <w:r w:rsidRPr="00CC0CDB">
              <w:rPr>
                <w:lang w:val="en-US"/>
              </w:rPr>
              <w:t>4</w:t>
            </w:r>
          </w:p>
        </w:tc>
        <w:tc>
          <w:tcPr>
            <w:tcW w:w="1417" w:type="dxa"/>
          </w:tcPr>
          <w:p w14:paraId="1C24690A" w14:textId="77777777" w:rsidR="00CC0CDB" w:rsidRPr="00CC0CDB" w:rsidRDefault="00CC0CDB" w:rsidP="00CC0CDB">
            <w:pPr>
              <w:jc w:val="center"/>
              <w:rPr>
                <w:lang w:val="en-US"/>
              </w:rPr>
            </w:pPr>
            <w:r w:rsidRPr="00CC0CDB">
              <w:rPr>
                <w:lang w:val="en-US"/>
              </w:rPr>
              <w:t>5</w:t>
            </w:r>
          </w:p>
        </w:tc>
      </w:tr>
      <w:tr w:rsidR="0016054F" w:rsidRPr="00CC0CDB" w14:paraId="3E3DEE35" w14:textId="77777777" w:rsidTr="007E6FB2">
        <w:tc>
          <w:tcPr>
            <w:tcW w:w="562" w:type="dxa"/>
          </w:tcPr>
          <w:p w14:paraId="5FEC0D8B" w14:textId="77777777" w:rsidR="00CC0CDB" w:rsidRPr="00CC0CDB" w:rsidRDefault="00CC0CDB" w:rsidP="00CC0CDB">
            <w:pPr>
              <w:jc w:val="center"/>
              <w:rPr>
                <w:lang w:val="ru-RU"/>
              </w:rPr>
            </w:pPr>
            <w:r w:rsidRPr="00CC0CDB">
              <w:rPr>
                <w:lang w:val="ru-RU"/>
              </w:rPr>
              <w:t>1</w:t>
            </w:r>
          </w:p>
        </w:tc>
        <w:tc>
          <w:tcPr>
            <w:tcW w:w="1628" w:type="dxa"/>
          </w:tcPr>
          <w:p w14:paraId="7DD07BB6" w14:textId="77777777" w:rsidR="00CC0CDB" w:rsidRPr="00CC0CDB" w:rsidRDefault="00CC0CDB" w:rsidP="00CC0CDB">
            <w:pPr>
              <w:jc w:val="center"/>
              <w:rPr>
                <w:lang w:val="ru-RU"/>
              </w:rPr>
            </w:pPr>
            <w:r w:rsidRPr="00CC0CDB">
              <w:rPr>
                <w:lang w:val="ru-RU"/>
              </w:rPr>
              <w:t>1</w:t>
            </w:r>
          </w:p>
        </w:tc>
        <w:tc>
          <w:tcPr>
            <w:tcW w:w="3759" w:type="dxa"/>
          </w:tcPr>
          <w:p w14:paraId="4226FCBD" w14:textId="77777777" w:rsidR="00CC0CDB" w:rsidRPr="00CC0CDB" w:rsidRDefault="00CC0CDB" w:rsidP="005E097D">
            <w:pPr>
              <w:jc w:val="left"/>
              <w:rPr>
                <w:lang w:val="ru-RU"/>
              </w:rPr>
            </w:pPr>
            <w:r w:rsidRPr="00CC0CDB">
              <w:t>Абонентська плата за супроводження рахунку в цінних паперах</w:t>
            </w:r>
          </w:p>
        </w:tc>
        <w:tc>
          <w:tcPr>
            <w:tcW w:w="2268" w:type="dxa"/>
          </w:tcPr>
          <w:p w14:paraId="6CBAAFCE" w14:textId="77777777" w:rsidR="00CC0CDB" w:rsidRPr="00CC0CDB" w:rsidRDefault="00CC0CDB" w:rsidP="00CC0CDB">
            <w:pPr>
              <w:jc w:val="center"/>
              <w:rPr>
                <w:lang w:val="ru-RU"/>
              </w:rPr>
            </w:pPr>
            <w:r w:rsidRPr="00CC0CDB">
              <w:t>За повний чи неповний розрахунковий період (незалежно від наявності операцій та залишків цінних паперів на рахунку)</w:t>
            </w:r>
          </w:p>
        </w:tc>
        <w:tc>
          <w:tcPr>
            <w:tcW w:w="1417" w:type="dxa"/>
          </w:tcPr>
          <w:p w14:paraId="50F7672C" w14:textId="77777777" w:rsidR="00CC0CDB" w:rsidRPr="00CC0CDB" w:rsidRDefault="00CC0CDB" w:rsidP="00CC0CDB">
            <w:pPr>
              <w:jc w:val="center"/>
              <w:rPr>
                <w:lang w:val="ru-RU"/>
              </w:rPr>
            </w:pPr>
            <w:r w:rsidRPr="00CC0CDB">
              <w:t>100 EUR</w:t>
            </w:r>
          </w:p>
        </w:tc>
      </w:tr>
      <w:tr w:rsidR="0016054F" w:rsidRPr="00CC0CDB" w14:paraId="6BB62CAF" w14:textId="77777777" w:rsidTr="007E6FB2">
        <w:tc>
          <w:tcPr>
            <w:tcW w:w="562" w:type="dxa"/>
          </w:tcPr>
          <w:p w14:paraId="68E83E52" w14:textId="77777777" w:rsidR="00CC0CDB" w:rsidRPr="00CC0CDB" w:rsidRDefault="00CC0CDB" w:rsidP="00CC0CDB">
            <w:pPr>
              <w:jc w:val="center"/>
              <w:rPr>
                <w:lang w:val="ru-RU"/>
              </w:rPr>
            </w:pPr>
            <w:r w:rsidRPr="00CC0CDB">
              <w:rPr>
                <w:lang w:val="ru-RU"/>
              </w:rPr>
              <w:t>2</w:t>
            </w:r>
          </w:p>
        </w:tc>
        <w:tc>
          <w:tcPr>
            <w:tcW w:w="1628" w:type="dxa"/>
          </w:tcPr>
          <w:p w14:paraId="30ABAC2D" w14:textId="77777777" w:rsidR="00CC0CDB" w:rsidRPr="00CC0CDB" w:rsidRDefault="00CC0CDB" w:rsidP="00CC0CDB">
            <w:pPr>
              <w:jc w:val="center"/>
              <w:rPr>
                <w:lang w:val="ru-RU"/>
              </w:rPr>
            </w:pPr>
            <w:r w:rsidRPr="00CC0CDB">
              <w:rPr>
                <w:lang w:val="ru-RU"/>
              </w:rPr>
              <w:t>2</w:t>
            </w:r>
          </w:p>
        </w:tc>
        <w:tc>
          <w:tcPr>
            <w:tcW w:w="3759" w:type="dxa"/>
          </w:tcPr>
          <w:p w14:paraId="44F912C3" w14:textId="77777777" w:rsidR="00CC0CDB" w:rsidRPr="00CC0CDB" w:rsidRDefault="00CC0CDB" w:rsidP="005E097D">
            <w:pPr>
              <w:jc w:val="left"/>
            </w:pPr>
            <w:r w:rsidRPr="00CC0CDB">
              <w:t>Зберігання цінних паперів на рахунку в цінних паперах</w:t>
            </w:r>
          </w:p>
        </w:tc>
        <w:tc>
          <w:tcPr>
            <w:tcW w:w="2268" w:type="dxa"/>
          </w:tcPr>
          <w:p w14:paraId="2251A992" w14:textId="77777777" w:rsidR="00CC0CDB" w:rsidRPr="00CC0CDB" w:rsidRDefault="00026669" w:rsidP="00026669">
            <w:pPr>
              <w:jc w:val="center"/>
            </w:pPr>
            <w:r>
              <w:t>Базисний пункт</w:t>
            </w:r>
          </w:p>
        </w:tc>
        <w:tc>
          <w:tcPr>
            <w:tcW w:w="1417" w:type="dxa"/>
          </w:tcPr>
          <w:p w14:paraId="31E2FAA4" w14:textId="77777777" w:rsidR="00CC0CDB" w:rsidRPr="00CC0CDB" w:rsidRDefault="00CC0CDB" w:rsidP="00CC0CDB">
            <w:pPr>
              <w:jc w:val="center"/>
              <w:rPr>
                <w:lang w:val="ru-RU"/>
              </w:rPr>
            </w:pPr>
            <w:r w:rsidRPr="00CC0CDB">
              <w:t>4,2 базисного пункту</w:t>
            </w:r>
          </w:p>
        </w:tc>
      </w:tr>
      <w:tr w:rsidR="0016054F" w:rsidRPr="00CC0CDB" w14:paraId="48798315" w14:textId="77777777" w:rsidTr="007E6FB2">
        <w:tc>
          <w:tcPr>
            <w:tcW w:w="562" w:type="dxa"/>
          </w:tcPr>
          <w:p w14:paraId="46DD1DE0" w14:textId="77777777" w:rsidR="00CC0CDB" w:rsidRPr="00CC0CDB" w:rsidRDefault="00CC0CDB" w:rsidP="00CC0CDB">
            <w:pPr>
              <w:jc w:val="center"/>
              <w:rPr>
                <w:lang w:val="ru-RU"/>
              </w:rPr>
            </w:pPr>
            <w:r w:rsidRPr="00CC0CDB">
              <w:rPr>
                <w:lang w:val="ru-RU"/>
              </w:rPr>
              <w:t>3</w:t>
            </w:r>
          </w:p>
        </w:tc>
        <w:tc>
          <w:tcPr>
            <w:tcW w:w="1628" w:type="dxa"/>
          </w:tcPr>
          <w:p w14:paraId="2BCFEE39" w14:textId="77777777" w:rsidR="00CC0CDB" w:rsidRPr="00CC0CDB" w:rsidRDefault="00CC0CDB" w:rsidP="00CC0CDB">
            <w:pPr>
              <w:jc w:val="center"/>
              <w:rPr>
                <w:lang w:val="ru-RU"/>
              </w:rPr>
            </w:pPr>
            <w:r w:rsidRPr="00CC0CDB">
              <w:rPr>
                <w:lang w:val="ru-RU"/>
              </w:rPr>
              <w:t>3</w:t>
            </w:r>
          </w:p>
        </w:tc>
        <w:tc>
          <w:tcPr>
            <w:tcW w:w="3759" w:type="dxa"/>
          </w:tcPr>
          <w:p w14:paraId="62F2BDFF" w14:textId="77777777" w:rsidR="00CC0CDB" w:rsidRPr="00CC0CDB" w:rsidRDefault="00CC0CDB" w:rsidP="005E097D">
            <w:pPr>
              <w:jc w:val="left"/>
            </w:pPr>
            <w:r w:rsidRPr="00CC0CDB">
              <w:t>Проведення облікових операцій на рахунку в цінних паперах</w:t>
            </w:r>
          </w:p>
        </w:tc>
        <w:tc>
          <w:tcPr>
            <w:tcW w:w="2268" w:type="dxa"/>
          </w:tcPr>
          <w:p w14:paraId="156FCFCF" w14:textId="77777777" w:rsidR="00CC0CDB" w:rsidRPr="00CC0CDB" w:rsidRDefault="00CC0CDB" w:rsidP="00CC0CDB">
            <w:pPr>
              <w:jc w:val="center"/>
            </w:pPr>
            <w:r w:rsidRPr="00CC0CDB">
              <w:t>1 розпорядження</w:t>
            </w:r>
          </w:p>
        </w:tc>
        <w:tc>
          <w:tcPr>
            <w:tcW w:w="1417" w:type="dxa"/>
          </w:tcPr>
          <w:p w14:paraId="7D83E873" w14:textId="77777777" w:rsidR="00CC0CDB" w:rsidRPr="00CC0CDB" w:rsidRDefault="00CC0CDB" w:rsidP="00CC0CDB">
            <w:pPr>
              <w:jc w:val="center"/>
            </w:pPr>
            <w:r w:rsidRPr="00CC0CDB">
              <w:t>10 EUR</w:t>
            </w:r>
          </w:p>
        </w:tc>
      </w:tr>
      <w:tr w:rsidR="0016054F" w:rsidRPr="00CC0CDB" w14:paraId="1A59D439" w14:textId="77777777" w:rsidTr="007E6FB2">
        <w:tc>
          <w:tcPr>
            <w:tcW w:w="562" w:type="dxa"/>
          </w:tcPr>
          <w:p w14:paraId="78A6877B" w14:textId="77777777" w:rsidR="00CC0CDB" w:rsidRPr="00CC0CDB" w:rsidRDefault="00CC0CDB" w:rsidP="00CC0CDB">
            <w:pPr>
              <w:jc w:val="center"/>
              <w:rPr>
                <w:lang w:val="ru-RU"/>
              </w:rPr>
            </w:pPr>
            <w:r w:rsidRPr="00CC0CDB">
              <w:rPr>
                <w:lang w:val="ru-RU"/>
              </w:rPr>
              <w:t>4</w:t>
            </w:r>
          </w:p>
        </w:tc>
        <w:tc>
          <w:tcPr>
            <w:tcW w:w="1628" w:type="dxa"/>
          </w:tcPr>
          <w:p w14:paraId="27A86522" w14:textId="77777777" w:rsidR="00CC0CDB" w:rsidRPr="00CC0CDB" w:rsidRDefault="00CC0CDB" w:rsidP="00CC0CDB">
            <w:pPr>
              <w:jc w:val="center"/>
              <w:rPr>
                <w:lang w:val="ru-RU"/>
              </w:rPr>
            </w:pPr>
            <w:r w:rsidRPr="00CC0CDB">
              <w:rPr>
                <w:lang w:val="ru-RU"/>
              </w:rPr>
              <w:t>4</w:t>
            </w:r>
          </w:p>
        </w:tc>
        <w:tc>
          <w:tcPr>
            <w:tcW w:w="3759" w:type="dxa"/>
          </w:tcPr>
          <w:p w14:paraId="023C8F1D" w14:textId="77777777" w:rsidR="00CC0CDB" w:rsidRPr="00CC0CDB" w:rsidRDefault="00CC0CDB" w:rsidP="005E097D">
            <w:pPr>
              <w:jc w:val="left"/>
            </w:pPr>
            <w:r w:rsidRPr="00CC0CDB">
              <w:t>Надання інформаційних довідок про стан рахунку в цінних паперах</w:t>
            </w:r>
          </w:p>
        </w:tc>
        <w:tc>
          <w:tcPr>
            <w:tcW w:w="2268" w:type="dxa"/>
          </w:tcPr>
          <w:p w14:paraId="684B0321" w14:textId="0E136983" w:rsidR="00CC0CDB" w:rsidRPr="00CC0CDB" w:rsidRDefault="007A2B24" w:rsidP="007A2B24">
            <w:pPr>
              <w:jc w:val="center"/>
            </w:pPr>
            <w:r>
              <w:t>–</w:t>
            </w:r>
          </w:p>
        </w:tc>
        <w:tc>
          <w:tcPr>
            <w:tcW w:w="1417" w:type="dxa"/>
          </w:tcPr>
          <w:p w14:paraId="20C400A7" w14:textId="77777777" w:rsidR="00CC0CDB" w:rsidRPr="00CC0CDB" w:rsidRDefault="00CC0CDB" w:rsidP="007E6FB2">
            <w:pPr>
              <w:ind w:left="-102" w:right="-113"/>
              <w:jc w:val="center"/>
            </w:pPr>
            <w:r w:rsidRPr="00CC0CDB">
              <w:t>Безплатно</w:t>
            </w:r>
          </w:p>
        </w:tc>
      </w:tr>
      <w:tr w:rsidR="0016054F" w:rsidRPr="00CC0CDB" w14:paraId="65B3780B" w14:textId="77777777" w:rsidTr="007E6FB2">
        <w:tc>
          <w:tcPr>
            <w:tcW w:w="562" w:type="dxa"/>
          </w:tcPr>
          <w:p w14:paraId="032F421D" w14:textId="77777777" w:rsidR="00CC0CDB" w:rsidRPr="00CC0CDB" w:rsidRDefault="00CC0CDB" w:rsidP="00CC0CDB">
            <w:pPr>
              <w:jc w:val="center"/>
              <w:rPr>
                <w:lang w:val="ru-RU"/>
              </w:rPr>
            </w:pPr>
            <w:r w:rsidRPr="00CC0CDB">
              <w:rPr>
                <w:lang w:val="ru-RU"/>
              </w:rPr>
              <w:t>5</w:t>
            </w:r>
          </w:p>
        </w:tc>
        <w:tc>
          <w:tcPr>
            <w:tcW w:w="1628" w:type="dxa"/>
          </w:tcPr>
          <w:p w14:paraId="4707F6E0" w14:textId="77777777" w:rsidR="00CC0CDB" w:rsidRPr="00CC0CDB" w:rsidRDefault="00CC0CDB" w:rsidP="00CC0CDB">
            <w:pPr>
              <w:jc w:val="center"/>
              <w:rPr>
                <w:lang w:val="ru-RU"/>
              </w:rPr>
            </w:pPr>
            <w:r w:rsidRPr="00CC0CDB">
              <w:rPr>
                <w:lang w:val="ru-RU"/>
              </w:rPr>
              <w:t>5</w:t>
            </w:r>
          </w:p>
        </w:tc>
        <w:tc>
          <w:tcPr>
            <w:tcW w:w="3759" w:type="dxa"/>
          </w:tcPr>
          <w:p w14:paraId="1796CCE4" w14:textId="77777777" w:rsidR="00CC0CDB" w:rsidRPr="00CC0CDB" w:rsidRDefault="00CC0CDB" w:rsidP="005E097D">
            <w:pPr>
              <w:jc w:val="left"/>
            </w:pPr>
            <w:r w:rsidRPr="00CC0CDB">
              <w:t>Обслуговування грошових розрахунків щодо державних цінних паперів України</w:t>
            </w:r>
          </w:p>
        </w:tc>
        <w:tc>
          <w:tcPr>
            <w:tcW w:w="2268" w:type="dxa"/>
          </w:tcPr>
          <w:p w14:paraId="0F3F0552" w14:textId="77777777" w:rsidR="00CC0CDB" w:rsidRPr="00CC0CDB" w:rsidRDefault="00CC0CDB" w:rsidP="00CC0CDB">
            <w:pPr>
              <w:jc w:val="center"/>
            </w:pPr>
            <w:r w:rsidRPr="00CC0CDB">
              <w:t>1 розпорядження</w:t>
            </w:r>
          </w:p>
        </w:tc>
        <w:tc>
          <w:tcPr>
            <w:tcW w:w="1417" w:type="dxa"/>
          </w:tcPr>
          <w:p w14:paraId="7FBBE0FE" w14:textId="77777777" w:rsidR="00CC0CDB" w:rsidRPr="00CC0CDB" w:rsidRDefault="00CC0CDB" w:rsidP="00026669">
            <w:pPr>
              <w:jc w:val="center"/>
            </w:pPr>
            <w:r w:rsidRPr="00CC0CDB">
              <w:t>15</w:t>
            </w:r>
            <w:r w:rsidR="00026669">
              <w:t> </w:t>
            </w:r>
            <w:r w:rsidRPr="00CC0CDB">
              <w:t>EUR</w:t>
            </w:r>
          </w:p>
        </w:tc>
      </w:tr>
    </w:tbl>
    <w:p w14:paraId="3F5F924D" w14:textId="77777777" w:rsidR="00351D92" w:rsidRDefault="00351D92" w:rsidP="00390A5B">
      <w:pPr>
        <w:ind w:firstLine="567"/>
      </w:pPr>
      <w:bookmarkStart w:id="1" w:name="n42"/>
      <w:bookmarkEnd w:id="1"/>
    </w:p>
    <w:p w14:paraId="788FB59E" w14:textId="4A51CE2E" w:rsidR="00CC0CDB" w:rsidRPr="00CC0CDB" w:rsidRDefault="00364120" w:rsidP="00390A5B">
      <w:pPr>
        <w:ind w:firstLine="567"/>
      </w:pPr>
      <w:r>
        <w:t xml:space="preserve">3. </w:t>
      </w:r>
      <w:r w:rsidR="00E720C4">
        <w:t xml:space="preserve">Розмір оплати </w:t>
      </w:r>
      <w:r w:rsidR="00CC0CDB" w:rsidRPr="00CC0CDB">
        <w:t>за послугу (операцію), зазначену в рядку 2 таблиці 2</w:t>
      </w:r>
      <w:r w:rsidR="00F20F24">
        <w:t xml:space="preserve"> розділу </w:t>
      </w:r>
      <w:r w:rsidR="00F20F24">
        <w:rPr>
          <w:lang w:val="en-US"/>
        </w:rPr>
        <w:t>II</w:t>
      </w:r>
      <w:r w:rsidR="00F20F24">
        <w:t xml:space="preserve"> цих Тарифів</w:t>
      </w:r>
      <w:r w:rsidR="00CC0CDB" w:rsidRPr="00CC0CDB">
        <w:t xml:space="preserve">, розраховується за </w:t>
      </w:r>
      <w:r w:rsidR="00890E20">
        <w:t xml:space="preserve">такою </w:t>
      </w:r>
      <w:r w:rsidR="00CC0CDB" w:rsidRPr="00CC0CDB">
        <w:t>формулою:</w:t>
      </w:r>
    </w:p>
    <w:p w14:paraId="3C376277" w14:textId="77777777" w:rsidR="00CC0CDB" w:rsidRPr="00CC0CDB" w:rsidRDefault="00CC0CDB" w:rsidP="00CC0CDB">
      <w:pPr>
        <w:jc w:val="center"/>
      </w:pPr>
      <w:bookmarkStart w:id="2" w:name="n43"/>
      <w:bookmarkEnd w:id="2"/>
      <w:r w:rsidRPr="00CC0CDB">
        <w:rPr>
          <w:noProof/>
        </w:rPr>
        <w:drawing>
          <wp:inline distT="0" distB="0" distL="0" distR="0" wp14:anchorId="7E6D916C" wp14:editId="4F7AB9B2">
            <wp:extent cx="3453130" cy="427990"/>
            <wp:effectExtent l="0" t="0" r="8255" b="0"/>
            <wp:docPr id="1" name="Рисунок 1" descr="https://zakon.rada.gov.ua/laws/file/imgs/70/p131919n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rada.gov.ua/laws/file/imgs/70/p131919n4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53130" cy="427990"/>
                    </a:xfrm>
                    <a:prstGeom prst="rect">
                      <a:avLst/>
                    </a:prstGeom>
                    <a:noFill/>
                    <a:ln>
                      <a:noFill/>
                    </a:ln>
                  </pic:spPr>
                </pic:pic>
              </a:graphicData>
            </a:graphic>
          </wp:inline>
        </w:drawing>
      </w:r>
    </w:p>
    <w:p w14:paraId="33C930A5" w14:textId="77777777" w:rsidR="00CC0CDB" w:rsidRPr="00CC0CDB" w:rsidRDefault="00CC0CDB" w:rsidP="00390A5B">
      <w:pPr>
        <w:tabs>
          <w:tab w:val="left" w:pos="567"/>
        </w:tabs>
      </w:pPr>
      <w:bookmarkStart w:id="3" w:name="n44"/>
      <w:bookmarkEnd w:id="3"/>
      <w:r w:rsidRPr="00CC0CDB">
        <w:t>де</w:t>
      </w:r>
      <w:r w:rsidR="00390A5B">
        <w:t xml:space="preserve"> </w:t>
      </w:r>
      <w:r w:rsidR="00390A5B">
        <w:tab/>
      </w:r>
      <w:r w:rsidRPr="00CC0CDB">
        <w:t xml:space="preserve">P </w:t>
      </w:r>
      <w:r w:rsidR="00390A5B">
        <w:t>–</w:t>
      </w:r>
      <w:r w:rsidRPr="00CC0CDB">
        <w:t xml:space="preserve"> </w:t>
      </w:r>
      <w:r w:rsidR="00E720C4">
        <w:t>розмір оп</w:t>
      </w:r>
      <w:r w:rsidRPr="00CC0CDB">
        <w:t>лат</w:t>
      </w:r>
      <w:r w:rsidR="00E720C4">
        <w:t>и</w:t>
      </w:r>
      <w:r w:rsidRPr="00CC0CDB">
        <w:t xml:space="preserve"> за послугу (операцію) за розрахунковий період;</w:t>
      </w:r>
    </w:p>
    <w:p w14:paraId="485BF35F" w14:textId="77777777" w:rsidR="00CC0CDB" w:rsidRPr="00CC0CDB" w:rsidRDefault="00CC0CDB" w:rsidP="00390A5B">
      <w:pPr>
        <w:ind w:firstLine="567"/>
      </w:pPr>
      <w:bookmarkStart w:id="4" w:name="n45"/>
      <w:bookmarkEnd w:id="4"/>
      <w:r w:rsidRPr="00CC0CDB">
        <w:t xml:space="preserve">AVG </w:t>
      </w:r>
      <w:r w:rsidR="00390A5B">
        <w:t>–</w:t>
      </w:r>
      <w:r w:rsidRPr="00CC0CDB">
        <w:t xml:space="preserve"> середня номінально-амортизаційна вартість цінних паперів за розрахунковий період;</w:t>
      </w:r>
    </w:p>
    <w:p w14:paraId="0A945DA7" w14:textId="77777777" w:rsidR="00CC0CDB" w:rsidRPr="00CC0CDB" w:rsidRDefault="00CC0CDB" w:rsidP="00390A5B">
      <w:pPr>
        <w:ind w:firstLine="567"/>
      </w:pPr>
      <w:bookmarkStart w:id="5" w:name="n46"/>
      <w:bookmarkEnd w:id="5"/>
      <w:r w:rsidRPr="00CC0CDB">
        <w:t xml:space="preserve">N </w:t>
      </w:r>
      <w:r w:rsidR="00524D77">
        <w:t>–</w:t>
      </w:r>
      <w:r w:rsidRPr="00CC0CDB">
        <w:t xml:space="preserve"> кількість днів у розрахунковому періоді;</w:t>
      </w:r>
    </w:p>
    <w:p w14:paraId="78D996D9" w14:textId="19C387C8" w:rsidR="00CC0CDB" w:rsidRPr="00CC0CDB" w:rsidRDefault="00CC0CDB" w:rsidP="00390A5B">
      <w:pPr>
        <w:ind w:firstLine="567"/>
      </w:pPr>
      <w:bookmarkStart w:id="6" w:name="n47"/>
      <w:bookmarkEnd w:id="6"/>
      <w:r w:rsidRPr="00CC0CDB">
        <w:t>1 базисний пункт = 0,01% = 0,0001.</w:t>
      </w:r>
    </w:p>
    <w:p w14:paraId="4E7CF21A" w14:textId="77777777" w:rsidR="00390A5B" w:rsidRDefault="00390A5B" w:rsidP="008971BF">
      <w:pPr>
        <w:jc w:val="left"/>
        <w:sectPr w:rsidR="00390A5B" w:rsidSect="002614EF">
          <w:headerReference w:type="default" r:id="rId21"/>
          <w:type w:val="continuous"/>
          <w:pgSz w:w="11906" w:h="16838" w:code="9"/>
          <w:pgMar w:top="567" w:right="567" w:bottom="1701" w:left="1701" w:header="283" w:footer="709" w:gutter="0"/>
          <w:cols w:space="708"/>
          <w:titlePg/>
          <w:docGrid w:linePitch="381"/>
        </w:sectPr>
      </w:pPr>
    </w:p>
    <w:p w14:paraId="2A609F3F" w14:textId="77777777" w:rsidR="00CC0CDB" w:rsidRDefault="00CC0CDB" w:rsidP="008971BF">
      <w:pPr>
        <w:jc w:val="left"/>
      </w:pPr>
    </w:p>
    <w:p w14:paraId="57C9F885" w14:textId="77777777" w:rsidR="008971BF" w:rsidRDefault="008971BF" w:rsidP="008971BF">
      <w:pPr>
        <w:jc w:val="center"/>
      </w:pPr>
      <w:r>
        <w:t>III. Тарифи на послуги (операції) із депозитарного обслуговування емітентів, що надаються (здійснюються) Національним банком як депозитарієм</w:t>
      </w:r>
    </w:p>
    <w:p w14:paraId="7A4FEED7" w14:textId="77777777" w:rsidR="008971BF" w:rsidRDefault="008971BF" w:rsidP="008971BF">
      <w:pPr>
        <w:jc w:val="right"/>
      </w:pPr>
    </w:p>
    <w:p w14:paraId="678A96DA" w14:textId="77777777" w:rsidR="00CC0CDB" w:rsidRDefault="008971BF" w:rsidP="008971BF">
      <w:pPr>
        <w:jc w:val="right"/>
      </w:pPr>
      <w:r>
        <w:t>Таблиця 3</w:t>
      </w:r>
    </w:p>
    <w:tbl>
      <w:tblPr>
        <w:tblStyle w:val="a9"/>
        <w:tblW w:w="9634" w:type="dxa"/>
        <w:tblBorders>
          <w:bottom w:val="none" w:sz="0" w:space="0" w:color="auto"/>
        </w:tblBorders>
        <w:tblLayout w:type="fixed"/>
        <w:tblLook w:val="04A0" w:firstRow="1" w:lastRow="0" w:firstColumn="1" w:lastColumn="0" w:noHBand="0" w:noVBand="1"/>
      </w:tblPr>
      <w:tblGrid>
        <w:gridCol w:w="704"/>
        <w:gridCol w:w="1616"/>
        <w:gridCol w:w="3629"/>
        <w:gridCol w:w="2137"/>
        <w:gridCol w:w="1548"/>
      </w:tblGrid>
      <w:tr w:rsidR="008971BF" w:rsidRPr="008971BF" w14:paraId="0D76D36E" w14:textId="77777777" w:rsidTr="003B45D0">
        <w:tc>
          <w:tcPr>
            <w:tcW w:w="704" w:type="dxa"/>
          </w:tcPr>
          <w:p w14:paraId="4ACA2700" w14:textId="77777777" w:rsidR="008971BF" w:rsidRPr="008971BF" w:rsidRDefault="008971BF" w:rsidP="008971BF">
            <w:pPr>
              <w:jc w:val="center"/>
              <w:rPr>
                <w:lang w:val="ru-RU"/>
              </w:rPr>
            </w:pPr>
            <w:r w:rsidRPr="008971BF">
              <w:t>№ з/п</w:t>
            </w:r>
          </w:p>
        </w:tc>
        <w:tc>
          <w:tcPr>
            <w:tcW w:w="1616" w:type="dxa"/>
          </w:tcPr>
          <w:p w14:paraId="484703DD" w14:textId="77777777" w:rsidR="008971BF" w:rsidRPr="008971BF" w:rsidRDefault="008971BF" w:rsidP="008971BF">
            <w:pPr>
              <w:jc w:val="center"/>
              <w:rPr>
                <w:lang w:val="ru-RU"/>
              </w:rPr>
            </w:pPr>
            <w:r w:rsidRPr="008971BF">
              <w:t>№ послуги (операції)</w:t>
            </w:r>
          </w:p>
        </w:tc>
        <w:tc>
          <w:tcPr>
            <w:tcW w:w="3629" w:type="dxa"/>
          </w:tcPr>
          <w:p w14:paraId="676C1F75" w14:textId="77777777" w:rsidR="008971BF" w:rsidRPr="008971BF" w:rsidRDefault="008971BF" w:rsidP="008971BF">
            <w:pPr>
              <w:jc w:val="center"/>
              <w:rPr>
                <w:lang w:val="ru-RU"/>
              </w:rPr>
            </w:pPr>
            <w:r w:rsidRPr="008971BF">
              <w:t>Найменування послуг (операцій)</w:t>
            </w:r>
          </w:p>
        </w:tc>
        <w:tc>
          <w:tcPr>
            <w:tcW w:w="2137" w:type="dxa"/>
          </w:tcPr>
          <w:p w14:paraId="39FFB41B" w14:textId="77777777" w:rsidR="008971BF" w:rsidRPr="008971BF" w:rsidRDefault="008971BF" w:rsidP="008971BF">
            <w:pPr>
              <w:jc w:val="center"/>
              <w:rPr>
                <w:lang w:val="ru-RU"/>
              </w:rPr>
            </w:pPr>
            <w:r w:rsidRPr="008971BF">
              <w:t>Одиниця виміру</w:t>
            </w:r>
          </w:p>
        </w:tc>
        <w:tc>
          <w:tcPr>
            <w:tcW w:w="1548" w:type="dxa"/>
          </w:tcPr>
          <w:p w14:paraId="21AD392A" w14:textId="77777777" w:rsidR="008971BF" w:rsidRPr="008971BF" w:rsidRDefault="008971BF" w:rsidP="008971BF">
            <w:pPr>
              <w:jc w:val="center"/>
              <w:rPr>
                <w:lang w:val="ru-RU"/>
              </w:rPr>
            </w:pPr>
            <w:r w:rsidRPr="008971BF">
              <w:t>Тарифи</w:t>
            </w:r>
          </w:p>
        </w:tc>
      </w:tr>
    </w:tbl>
    <w:p w14:paraId="2299EE44" w14:textId="77777777" w:rsidR="000631E3" w:rsidRPr="000631E3" w:rsidRDefault="000631E3">
      <w:pPr>
        <w:rPr>
          <w:sz w:val="2"/>
        </w:rPr>
      </w:pPr>
    </w:p>
    <w:tbl>
      <w:tblPr>
        <w:tblStyle w:val="a9"/>
        <w:tblW w:w="9634" w:type="dxa"/>
        <w:tblLayout w:type="fixed"/>
        <w:tblLook w:val="04A0" w:firstRow="1" w:lastRow="0" w:firstColumn="1" w:lastColumn="0" w:noHBand="0" w:noVBand="1"/>
      </w:tblPr>
      <w:tblGrid>
        <w:gridCol w:w="704"/>
        <w:gridCol w:w="1616"/>
        <w:gridCol w:w="3629"/>
        <w:gridCol w:w="2126"/>
        <w:gridCol w:w="1559"/>
      </w:tblGrid>
      <w:tr w:rsidR="008971BF" w:rsidRPr="008971BF" w14:paraId="170AAA4E" w14:textId="77777777" w:rsidTr="003B45D0">
        <w:trPr>
          <w:trHeight w:val="349"/>
          <w:tblHeader/>
        </w:trPr>
        <w:tc>
          <w:tcPr>
            <w:tcW w:w="704" w:type="dxa"/>
            <w:vAlign w:val="center"/>
          </w:tcPr>
          <w:p w14:paraId="06566F3D" w14:textId="77777777" w:rsidR="008971BF" w:rsidRPr="008971BF" w:rsidRDefault="008971BF" w:rsidP="008971BF">
            <w:pPr>
              <w:jc w:val="center"/>
              <w:rPr>
                <w:lang w:val="en-US"/>
              </w:rPr>
            </w:pPr>
            <w:r w:rsidRPr="008971BF">
              <w:rPr>
                <w:lang w:val="en-US"/>
              </w:rPr>
              <w:t>1</w:t>
            </w:r>
          </w:p>
        </w:tc>
        <w:tc>
          <w:tcPr>
            <w:tcW w:w="1616" w:type="dxa"/>
            <w:vAlign w:val="center"/>
          </w:tcPr>
          <w:p w14:paraId="3CF6240B" w14:textId="77777777" w:rsidR="008971BF" w:rsidRPr="008971BF" w:rsidRDefault="008971BF" w:rsidP="008971BF">
            <w:pPr>
              <w:jc w:val="center"/>
              <w:rPr>
                <w:lang w:val="en-US"/>
              </w:rPr>
            </w:pPr>
            <w:r w:rsidRPr="008971BF">
              <w:rPr>
                <w:lang w:val="en-US"/>
              </w:rPr>
              <w:t>2</w:t>
            </w:r>
          </w:p>
        </w:tc>
        <w:tc>
          <w:tcPr>
            <w:tcW w:w="3629" w:type="dxa"/>
            <w:vAlign w:val="center"/>
          </w:tcPr>
          <w:p w14:paraId="49D18C44" w14:textId="77777777" w:rsidR="008971BF" w:rsidRPr="008971BF" w:rsidRDefault="008971BF" w:rsidP="008971BF">
            <w:pPr>
              <w:jc w:val="center"/>
              <w:rPr>
                <w:lang w:val="en-US"/>
              </w:rPr>
            </w:pPr>
            <w:r w:rsidRPr="008971BF">
              <w:rPr>
                <w:lang w:val="en-US"/>
              </w:rPr>
              <w:t>3</w:t>
            </w:r>
          </w:p>
        </w:tc>
        <w:tc>
          <w:tcPr>
            <w:tcW w:w="2126" w:type="dxa"/>
            <w:vAlign w:val="center"/>
          </w:tcPr>
          <w:p w14:paraId="06FEF77B" w14:textId="77777777" w:rsidR="008971BF" w:rsidRPr="008971BF" w:rsidRDefault="008971BF" w:rsidP="008971BF">
            <w:pPr>
              <w:jc w:val="center"/>
              <w:rPr>
                <w:lang w:val="en-US"/>
              </w:rPr>
            </w:pPr>
            <w:r w:rsidRPr="008971BF">
              <w:rPr>
                <w:lang w:val="en-US"/>
              </w:rPr>
              <w:t>4</w:t>
            </w:r>
          </w:p>
        </w:tc>
        <w:tc>
          <w:tcPr>
            <w:tcW w:w="1559" w:type="dxa"/>
          </w:tcPr>
          <w:p w14:paraId="7E68D6F0" w14:textId="77777777" w:rsidR="008971BF" w:rsidRPr="008971BF" w:rsidRDefault="008971BF" w:rsidP="008971BF">
            <w:pPr>
              <w:jc w:val="center"/>
              <w:rPr>
                <w:lang w:val="ru-RU"/>
              </w:rPr>
            </w:pPr>
            <w:r w:rsidRPr="008971BF">
              <w:rPr>
                <w:lang w:val="ru-RU"/>
              </w:rPr>
              <w:t>5</w:t>
            </w:r>
          </w:p>
        </w:tc>
      </w:tr>
      <w:tr w:rsidR="008971BF" w:rsidRPr="008971BF" w14:paraId="2C9B2B0F" w14:textId="77777777" w:rsidTr="003B45D0">
        <w:trPr>
          <w:trHeight w:val="349"/>
        </w:trPr>
        <w:tc>
          <w:tcPr>
            <w:tcW w:w="704" w:type="dxa"/>
          </w:tcPr>
          <w:p w14:paraId="0F342238" w14:textId="77777777" w:rsidR="008971BF" w:rsidRPr="008971BF" w:rsidRDefault="008971BF" w:rsidP="008971BF">
            <w:pPr>
              <w:jc w:val="center"/>
              <w:rPr>
                <w:lang w:val="en-US"/>
              </w:rPr>
            </w:pPr>
            <w:r w:rsidRPr="008971BF">
              <w:rPr>
                <w:lang w:val="en-US"/>
              </w:rPr>
              <w:t>1</w:t>
            </w:r>
          </w:p>
        </w:tc>
        <w:tc>
          <w:tcPr>
            <w:tcW w:w="1616" w:type="dxa"/>
          </w:tcPr>
          <w:p w14:paraId="5E117471" w14:textId="77777777" w:rsidR="008971BF" w:rsidRPr="008971BF" w:rsidRDefault="008971BF" w:rsidP="008971BF">
            <w:pPr>
              <w:jc w:val="center"/>
              <w:rPr>
                <w:lang w:val="en-US"/>
              </w:rPr>
            </w:pPr>
            <w:r w:rsidRPr="008971BF">
              <w:rPr>
                <w:lang w:val="en-US"/>
              </w:rPr>
              <w:t>1</w:t>
            </w:r>
          </w:p>
        </w:tc>
        <w:tc>
          <w:tcPr>
            <w:tcW w:w="3629" w:type="dxa"/>
          </w:tcPr>
          <w:p w14:paraId="5EACF26F" w14:textId="77777777" w:rsidR="008971BF" w:rsidRPr="008971BF" w:rsidRDefault="008971BF" w:rsidP="008971BF">
            <w:pPr>
              <w:jc w:val="left"/>
              <w:rPr>
                <w:lang w:val="ru-RU"/>
              </w:rPr>
            </w:pPr>
            <w:r w:rsidRPr="008971BF">
              <w:t>Обслуговування випуску цінних паперів</w:t>
            </w:r>
          </w:p>
        </w:tc>
        <w:tc>
          <w:tcPr>
            <w:tcW w:w="2126" w:type="dxa"/>
            <w:vAlign w:val="center"/>
          </w:tcPr>
          <w:p w14:paraId="2BDD6EEE" w14:textId="77777777" w:rsidR="008971BF" w:rsidRPr="008971BF" w:rsidRDefault="008971BF" w:rsidP="008971BF">
            <w:pPr>
              <w:jc w:val="center"/>
              <w:rPr>
                <w:lang w:val="ru-RU"/>
              </w:rPr>
            </w:pPr>
            <w:r w:rsidRPr="008971BF">
              <w:t>За 1 випуск за повний чи неповний розрахунковий період</w:t>
            </w:r>
          </w:p>
        </w:tc>
        <w:tc>
          <w:tcPr>
            <w:tcW w:w="1559" w:type="dxa"/>
            <w:vAlign w:val="center"/>
          </w:tcPr>
          <w:p w14:paraId="68F57BCC" w14:textId="77777777" w:rsidR="008971BF" w:rsidRPr="008971BF" w:rsidRDefault="008971BF" w:rsidP="008971BF">
            <w:pPr>
              <w:jc w:val="center"/>
              <w:rPr>
                <w:lang w:val="ru-RU"/>
              </w:rPr>
            </w:pPr>
            <w:r w:rsidRPr="008971BF">
              <w:t>750 грн</w:t>
            </w:r>
          </w:p>
        </w:tc>
      </w:tr>
      <w:tr w:rsidR="008971BF" w:rsidRPr="008971BF" w14:paraId="0F8A7B30" w14:textId="77777777" w:rsidTr="003B45D0">
        <w:tc>
          <w:tcPr>
            <w:tcW w:w="704" w:type="dxa"/>
          </w:tcPr>
          <w:p w14:paraId="57CFB225" w14:textId="77777777" w:rsidR="008971BF" w:rsidRPr="008971BF" w:rsidRDefault="008971BF" w:rsidP="008971BF">
            <w:pPr>
              <w:jc w:val="center"/>
              <w:rPr>
                <w:lang w:val="en-US"/>
              </w:rPr>
            </w:pPr>
            <w:r w:rsidRPr="008971BF">
              <w:rPr>
                <w:lang w:val="en-US"/>
              </w:rPr>
              <w:t>2</w:t>
            </w:r>
          </w:p>
        </w:tc>
        <w:tc>
          <w:tcPr>
            <w:tcW w:w="1616" w:type="dxa"/>
          </w:tcPr>
          <w:p w14:paraId="55F20B29" w14:textId="77777777" w:rsidR="008971BF" w:rsidRPr="008971BF" w:rsidRDefault="008971BF" w:rsidP="008971BF">
            <w:pPr>
              <w:jc w:val="center"/>
              <w:rPr>
                <w:lang w:val="en-US"/>
              </w:rPr>
            </w:pPr>
            <w:r w:rsidRPr="008971BF">
              <w:rPr>
                <w:lang w:val="en-US"/>
              </w:rPr>
              <w:t>2</w:t>
            </w:r>
          </w:p>
        </w:tc>
        <w:tc>
          <w:tcPr>
            <w:tcW w:w="3629" w:type="dxa"/>
          </w:tcPr>
          <w:p w14:paraId="41A2F5F1" w14:textId="77777777" w:rsidR="008971BF" w:rsidRPr="008971BF" w:rsidRDefault="008971BF" w:rsidP="008971BF">
            <w:pPr>
              <w:jc w:val="left"/>
              <w:rPr>
                <w:lang w:val="ru-RU"/>
              </w:rPr>
            </w:pPr>
            <w:r w:rsidRPr="008971BF">
              <w:t>Зберігання цінних паперів на</w:t>
            </w:r>
            <w:r w:rsidRPr="008971BF">
              <w:rPr>
                <w:lang w:val="ru-RU"/>
              </w:rPr>
              <w:t xml:space="preserve"> </w:t>
            </w:r>
            <w:r w:rsidRPr="008971BF">
              <w:t>рахунку в цінних паперах</w:t>
            </w:r>
            <w:r w:rsidRPr="008971BF">
              <w:rPr>
                <w:lang w:val="ru-RU"/>
              </w:rPr>
              <w:t xml:space="preserve"> </w:t>
            </w:r>
            <w:r w:rsidRPr="008971BF">
              <w:t>емітента</w:t>
            </w:r>
          </w:p>
        </w:tc>
        <w:tc>
          <w:tcPr>
            <w:tcW w:w="2126" w:type="dxa"/>
          </w:tcPr>
          <w:p w14:paraId="23C1F46C" w14:textId="77777777" w:rsidR="008971BF" w:rsidRPr="008971BF" w:rsidRDefault="008971BF" w:rsidP="008971BF">
            <w:pPr>
              <w:jc w:val="center"/>
            </w:pPr>
            <w:r w:rsidRPr="008971BF">
              <w:t>% від середньої номінальної вартості цінних паперів за розрахунковий період</w:t>
            </w:r>
          </w:p>
        </w:tc>
        <w:tc>
          <w:tcPr>
            <w:tcW w:w="1559" w:type="dxa"/>
          </w:tcPr>
          <w:p w14:paraId="62CA8CDA" w14:textId="77777777" w:rsidR="008971BF" w:rsidRPr="008971BF" w:rsidRDefault="008971BF" w:rsidP="008971BF">
            <w:pPr>
              <w:jc w:val="center"/>
              <w:rPr>
                <w:lang w:val="ru-RU"/>
              </w:rPr>
            </w:pPr>
            <w:r w:rsidRPr="008971BF">
              <w:t>0,00034%</w:t>
            </w:r>
          </w:p>
        </w:tc>
      </w:tr>
      <w:tr w:rsidR="008971BF" w:rsidRPr="008971BF" w14:paraId="0024C809" w14:textId="77777777" w:rsidTr="003B45D0">
        <w:tc>
          <w:tcPr>
            <w:tcW w:w="704" w:type="dxa"/>
          </w:tcPr>
          <w:p w14:paraId="4EA49ACE" w14:textId="77777777" w:rsidR="008971BF" w:rsidRPr="008971BF" w:rsidRDefault="008971BF" w:rsidP="008971BF">
            <w:pPr>
              <w:jc w:val="center"/>
              <w:rPr>
                <w:lang w:val="en-US"/>
              </w:rPr>
            </w:pPr>
            <w:r w:rsidRPr="008971BF">
              <w:rPr>
                <w:lang w:val="en-US"/>
              </w:rPr>
              <w:t>3</w:t>
            </w:r>
          </w:p>
        </w:tc>
        <w:tc>
          <w:tcPr>
            <w:tcW w:w="1616" w:type="dxa"/>
          </w:tcPr>
          <w:p w14:paraId="1BD3BDC9" w14:textId="77777777" w:rsidR="008971BF" w:rsidRPr="008971BF" w:rsidRDefault="008971BF" w:rsidP="008971BF">
            <w:pPr>
              <w:jc w:val="center"/>
              <w:rPr>
                <w:lang w:val="en-US"/>
              </w:rPr>
            </w:pPr>
            <w:r w:rsidRPr="008971BF">
              <w:rPr>
                <w:lang w:val="en-US"/>
              </w:rPr>
              <w:t>3</w:t>
            </w:r>
          </w:p>
        </w:tc>
        <w:tc>
          <w:tcPr>
            <w:tcW w:w="3629" w:type="dxa"/>
          </w:tcPr>
          <w:p w14:paraId="25247F8B" w14:textId="1D72A337" w:rsidR="008971BF" w:rsidRPr="008971BF" w:rsidRDefault="008971BF" w:rsidP="007A2B24">
            <w:pPr>
              <w:jc w:val="left"/>
            </w:pPr>
            <w:r w:rsidRPr="008971BF">
              <w:t>Депонування глобального сертифіката/тимчасового глобального сертифіката</w:t>
            </w:r>
          </w:p>
        </w:tc>
        <w:tc>
          <w:tcPr>
            <w:tcW w:w="2126" w:type="dxa"/>
          </w:tcPr>
          <w:p w14:paraId="043DC1D4" w14:textId="77777777" w:rsidR="008971BF" w:rsidRPr="008971BF" w:rsidRDefault="008971BF" w:rsidP="008971BF">
            <w:pPr>
              <w:jc w:val="center"/>
              <w:rPr>
                <w:lang w:val="ru-RU"/>
              </w:rPr>
            </w:pPr>
            <w:r w:rsidRPr="008971BF">
              <w:t>1 операція</w:t>
            </w:r>
          </w:p>
        </w:tc>
        <w:tc>
          <w:tcPr>
            <w:tcW w:w="1559" w:type="dxa"/>
          </w:tcPr>
          <w:p w14:paraId="50419CAF" w14:textId="77777777" w:rsidR="008971BF" w:rsidRPr="008971BF" w:rsidRDefault="008971BF" w:rsidP="008971BF">
            <w:pPr>
              <w:jc w:val="center"/>
              <w:rPr>
                <w:lang w:val="ru-RU"/>
              </w:rPr>
            </w:pPr>
            <w:r w:rsidRPr="008971BF">
              <w:t>420 грн</w:t>
            </w:r>
          </w:p>
        </w:tc>
      </w:tr>
      <w:tr w:rsidR="008971BF" w:rsidRPr="008971BF" w14:paraId="26D6BC2F" w14:textId="77777777" w:rsidTr="003B45D0">
        <w:tc>
          <w:tcPr>
            <w:tcW w:w="704" w:type="dxa"/>
          </w:tcPr>
          <w:p w14:paraId="1E1AA84F" w14:textId="77777777" w:rsidR="008971BF" w:rsidRPr="008971BF" w:rsidRDefault="008971BF" w:rsidP="008971BF">
            <w:pPr>
              <w:jc w:val="center"/>
              <w:rPr>
                <w:lang w:val="en-US"/>
              </w:rPr>
            </w:pPr>
            <w:r w:rsidRPr="008971BF">
              <w:rPr>
                <w:lang w:val="en-US"/>
              </w:rPr>
              <w:t>4</w:t>
            </w:r>
          </w:p>
        </w:tc>
        <w:tc>
          <w:tcPr>
            <w:tcW w:w="1616" w:type="dxa"/>
          </w:tcPr>
          <w:p w14:paraId="7FB7AA86" w14:textId="77777777" w:rsidR="008971BF" w:rsidRPr="008971BF" w:rsidRDefault="008971BF" w:rsidP="008971BF">
            <w:pPr>
              <w:jc w:val="center"/>
              <w:rPr>
                <w:lang w:val="en-US"/>
              </w:rPr>
            </w:pPr>
            <w:r w:rsidRPr="008971BF">
              <w:rPr>
                <w:lang w:val="en-US"/>
              </w:rPr>
              <w:t>4</w:t>
            </w:r>
          </w:p>
        </w:tc>
        <w:tc>
          <w:tcPr>
            <w:tcW w:w="3629" w:type="dxa"/>
          </w:tcPr>
          <w:p w14:paraId="4415DE60" w14:textId="6EA1C21A" w:rsidR="008971BF" w:rsidRPr="008971BF" w:rsidRDefault="008971BF" w:rsidP="000E5CB6">
            <w:pPr>
              <w:jc w:val="left"/>
            </w:pPr>
            <w:r w:rsidRPr="008971BF">
              <w:t>Обслуговування розрахунків у цінних паперах, проведених із дотриманням принципу</w:t>
            </w:r>
            <w:r w:rsidRPr="008971BF">
              <w:rPr>
                <w:lang w:val="ru-RU"/>
              </w:rPr>
              <w:t xml:space="preserve"> “</w:t>
            </w:r>
            <w:r w:rsidRPr="008971BF">
              <w:t>оплата проти поставки цінних</w:t>
            </w:r>
            <w:r w:rsidRPr="008971BF">
              <w:rPr>
                <w:lang w:val="ru-RU"/>
              </w:rPr>
              <w:t xml:space="preserve"> </w:t>
            </w:r>
            <w:r w:rsidRPr="008971BF">
              <w:t>паперів</w:t>
            </w:r>
            <w:r w:rsidRPr="008971BF">
              <w:rPr>
                <w:lang w:val="ru-RU"/>
              </w:rPr>
              <w:t>”</w:t>
            </w:r>
            <w:r w:rsidRPr="008971BF">
              <w:t>/</w:t>
            </w:r>
            <w:r w:rsidRPr="008971BF">
              <w:rPr>
                <w:lang w:val="ru-RU"/>
              </w:rPr>
              <w:t>“</w:t>
            </w:r>
            <w:r w:rsidRPr="008971BF">
              <w:t>поставка цінних паперів без оплати</w:t>
            </w:r>
            <w:r w:rsidRPr="008971BF">
              <w:rPr>
                <w:lang w:val="ru-RU"/>
              </w:rPr>
              <w:t>”</w:t>
            </w:r>
            <w:r w:rsidRPr="008971BF">
              <w:t xml:space="preserve"> </w:t>
            </w:r>
            <w:r w:rsidRPr="004F01D5">
              <w:t>у</w:t>
            </w:r>
            <w:r w:rsidRPr="004F01D5">
              <w:rPr>
                <w:lang w:val="ru-RU"/>
              </w:rPr>
              <w:t xml:space="preserve"> </w:t>
            </w:r>
            <w:r w:rsidRPr="004F01D5">
              <w:t>випадках</w:t>
            </w:r>
            <w:r w:rsidRPr="008971BF">
              <w:t>, передбачених</w:t>
            </w:r>
            <w:r w:rsidRPr="008971BF">
              <w:rPr>
                <w:lang w:val="ru-RU"/>
              </w:rPr>
              <w:t xml:space="preserve"> </w:t>
            </w:r>
            <w:r w:rsidRPr="008971BF">
              <w:t>законодавством України</w:t>
            </w:r>
          </w:p>
        </w:tc>
        <w:tc>
          <w:tcPr>
            <w:tcW w:w="2126" w:type="dxa"/>
          </w:tcPr>
          <w:p w14:paraId="1600E0EB" w14:textId="77777777" w:rsidR="008971BF" w:rsidRPr="008971BF" w:rsidRDefault="008971BF" w:rsidP="008971BF">
            <w:pPr>
              <w:jc w:val="center"/>
              <w:rPr>
                <w:lang w:val="ru-RU"/>
              </w:rPr>
            </w:pPr>
            <w:r w:rsidRPr="008971BF">
              <w:t>1 операція</w:t>
            </w:r>
          </w:p>
        </w:tc>
        <w:tc>
          <w:tcPr>
            <w:tcW w:w="1559" w:type="dxa"/>
          </w:tcPr>
          <w:p w14:paraId="3AC15B42" w14:textId="77777777" w:rsidR="008971BF" w:rsidRPr="008971BF" w:rsidRDefault="008971BF" w:rsidP="008971BF">
            <w:pPr>
              <w:jc w:val="center"/>
              <w:rPr>
                <w:lang w:val="ru-RU"/>
              </w:rPr>
            </w:pPr>
            <w:r w:rsidRPr="008971BF">
              <w:t>750 грн</w:t>
            </w:r>
          </w:p>
        </w:tc>
      </w:tr>
      <w:tr w:rsidR="008971BF" w:rsidRPr="008971BF" w14:paraId="35CD365E" w14:textId="77777777" w:rsidTr="003B45D0">
        <w:tc>
          <w:tcPr>
            <w:tcW w:w="704" w:type="dxa"/>
          </w:tcPr>
          <w:p w14:paraId="16FE1C50" w14:textId="77777777" w:rsidR="008971BF" w:rsidRPr="008971BF" w:rsidRDefault="008971BF" w:rsidP="008971BF">
            <w:pPr>
              <w:jc w:val="center"/>
              <w:rPr>
                <w:lang w:val="en-US"/>
              </w:rPr>
            </w:pPr>
            <w:r w:rsidRPr="008971BF">
              <w:rPr>
                <w:lang w:val="en-US"/>
              </w:rPr>
              <w:t>5</w:t>
            </w:r>
          </w:p>
        </w:tc>
        <w:tc>
          <w:tcPr>
            <w:tcW w:w="1616" w:type="dxa"/>
          </w:tcPr>
          <w:p w14:paraId="2D90D63F" w14:textId="77777777" w:rsidR="008971BF" w:rsidRPr="008971BF" w:rsidRDefault="008971BF" w:rsidP="008971BF">
            <w:pPr>
              <w:jc w:val="center"/>
              <w:rPr>
                <w:lang w:val="en-US"/>
              </w:rPr>
            </w:pPr>
            <w:r w:rsidRPr="008971BF">
              <w:rPr>
                <w:lang w:val="en-US"/>
              </w:rPr>
              <w:t>5</w:t>
            </w:r>
          </w:p>
        </w:tc>
        <w:tc>
          <w:tcPr>
            <w:tcW w:w="3629" w:type="dxa"/>
          </w:tcPr>
          <w:p w14:paraId="2877F6AB" w14:textId="4EA0469F" w:rsidR="008971BF" w:rsidRPr="008971BF" w:rsidRDefault="008971BF" w:rsidP="004F01D5">
            <w:pPr>
              <w:jc w:val="left"/>
            </w:pPr>
            <w:r w:rsidRPr="008971BF">
              <w:t>Виплата суми доходу та/або</w:t>
            </w:r>
            <w:r w:rsidRPr="008971BF">
              <w:rPr>
                <w:lang w:val="ru-RU"/>
              </w:rPr>
              <w:t xml:space="preserve"> </w:t>
            </w:r>
            <w:r w:rsidRPr="008971BF">
              <w:t>погашення за цінними</w:t>
            </w:r>
            <w:r w:rsidRPr="008971BF">
              <w:rPr>
                <w:lang w:val="ru-RU"/>
              </w:rPr>
              <w:t xml:space="preserve"> </w:t>
            </w:r>
            <w:r w:rsidRPr="008971BF">
              <w:t xml:space="preserve">паперами, </w:t>
            </w:r>
            <w:r w:rsidR="004F01D5">
              <w:t>в</w:t>
            </w:r>
            <w:r w:rsidRPr="008971BF">
              <w:t>ключаючи</w:t>
            </w:r>
            <w:r w:rsidRPr="008971BF">
              <w:rPr>
                <w:lang w:val="ru-RU"/>
              </w:rPr>
              <w:t xml:space="preserve"> </w:t>
            </w:r>
            <w:r w:rsidRPr="008971BF">
              <w:t>здійснення грошового</w:t>
            </w:r>
            <w:r w:rsidRPr="008971BF">
              <w:rPr>
                <w:lang w:val="ru-RU"/>
              </w:rPr>
              <w:t xml:space="preserve"> </w:t>
            </w:r>
            <w:r w:rsidRPr="008971BF">
              <w:t>клірингу</w:t>
            </w:r>
          </w:p>
        </w:tc>
        <w:tc>
          <w:tcPr>
            <w:tcW w:w="2126" w:type="dxa"/>
          </w:tcPr>
          <w:p w14:paraId="1D3ED86A" w14:textId="77777777" w:rsidR="008971BF" w:rsidRPr="008971BF" w:rsidRDefault="008971BF" w:rsidP="008971BF">
            <w:pPr>
              <w:jc w:val="center"/>
              <w:rPr>
                <w:lang w:val="ru-RU"/>
              </w:rPr>
            </w:pPr>
            <w:r w:rsidRPr="008971BF">
              <w:t>1 операція</w:t>
            </w:r>
          </w:p>
        </w:tc>
        <w:tc>
          <w:tcPr>
            <w:tcW w:w="1559" w:type="dxa"/>
          </w:tcPr>
          <w:p w14:paraId="0F010944" w14:textId="77777777" w:rsidR="008971BF" w:rsidRPr="008971BF" w:rsidRDefault="008971BF" w:rsidP="008971BF">
            <w:pPr>
              <w:jc w:val="center"/>
              <w:rPr>
                <w:lang w:val="ru-RU"/>
              </w:rPr>
            </w:pPr>
            <w:r w:rsidRPr="008971BF">
              <w:t>750 грн</w:t>
            </w:r>
          </w:p>
        </w:tc>
      </w:tr>
    </w:tbl>
    <w:p w14:paraId="1CAB84A0" w14:textId="77777777" w:rsidR="000631E3" w:rsidRDefault="000631E3" w:rsidP="000631E3">
      <w:pPr>
        <w:sectPr w:rsidR="000631E3" w:rsidSect="00390A5B">
          <w:headerReference w:type="default" r:id="rId22"/>
          <w:type w:val="continuous"/>
          <w:pgSz w:w="11906" w:h="16838" w:code="9"/>
          <w:pgMar w:top="567" w:right="567" w:bottom="1701" w:left="1701" w:header="567" w:footer="709" w:gutter="0"/>
          <w:cols w:space="708"/>
          <w:titlePg/>
          <w:docGrid w:linePitch="381"/>
        </w:sectPr>
      </w:pPr>
    </w:p>
    <w:p w14:paraId="7B0BA4BF" w14:textId="77777777" w:rsidR="000631E3" w:rsidRDefault="000631E3" w:rsidP="000631E3"/>
    <w:p w14:paraId="08BC1D30" w14:textId="77777777" w:rsidR="008971BF" w:rsidRDefault="008971BF" w:rsidP="008971BF">
      <w:pPr>
        <w:jc w:val="center"/>
      </w:pPr>
      <w:r>
        <w:t>IV. Тарифи на послуги (операції), що надаються (здійснюються) Національним банком під час виконання функції депозитарної установи для депонентів Національного банку</w:t>
      </w:r>
    </w:p>
    <w:p w14:paraId="33B88032" w14:textId="77777777" w:rsidR="008971BF" w:rsidRDefault="008971BF" w:rsidP="008971BF">
      <w:pPr>
        <w:jc w:val="right"/>
      </w:pPr>
    </w:p>
    <w:p w14:paraId="481ADC20" w14:textId="77777777" w:rsidR="008971BF" w:rsidRDefault="008971BF" w:rsidP="008971BF">
      <w:pPr>
        <w:jc w:val="right"/>
      </w:pPr>
      <w:r>
        <w:t>Таблиця 4</w:t>
      </w:r>
    </w:p>
    <w:tbl>
      <w:tblPr>
        <w:tblStyle w:val="a9"/>
        <w:tblW w:w="9634" w:type="dxa"/>
        <w:tblBorders>
          <w:bottom w:val="none" w:sz="0" w:space="0" w:color="auto"/>
        </w:tblBorders>
        <w:tblLayout w:type="fixed"/>
        <w:tblLook w:val="04A0" w:firstRow="1" w:lastRow="0" w:firstColumn="1" w:lastColumn="0" w:noHBand="0" w:noVBand="1"/>
      </w:tblPr>
      <w:tblGrid>
        <w:gridCol w:w="751"/>
        <w:gridCol w:w="1520"/>
        <w:gridCol w:w="3536"/>
        <w:gridCol w:w="2410"/>
        <w:gridCol w:w="1417"/>
      </w:tblGrid>
      <w:tr w:rsidR="0031090D" w:rsidRPr="008971BF" w14:paraId="7BED4FD7" w14:textId="77777777" w:rsidTr="003B45D0">
        <w:tc>
          <w:tcPr>
            <w:tcW w:w="751" w:type="dxa"/>
          </w:tcPr>
          <w:p w14:paraId="497B88EC" w14:textId="77777777" w:rsidR="008971BF" w:rsidRPr="008971BF" w:rsidRDefault="008971BF" w:rsidP="008971BF">
            <w:pPr>
              <w:jc w:val="center"/>
            </w:pPr>
            <w:r w:rsidRPr="008971BF">
              <w:t>№ з/п</w:t>
            </w:r>
          </w:p>
        </w:tc>
        <w:tc>
          <w:tcPr>
            <w:tcW w:w="1520" w:type="dxa"/>
          </w:tcPr>
          <w:p w14:paraId="2340A2A6" w14:textId="77777777" w:rsidR="008971BF" w:rsidRPr="008971BF" w:rsidRDefault="008971BF" w:rsidP="008971BF">
            <w:pPr>
              <w:jc w:val="center"/>
            </w:pPr>
            <w:r w:rsidRPr="008971BF">
              <w:t>№ послуги (операції)</w:t>
            </w:r>
          </w:p>
        </w:tc>
        <w:tc>
          <w:tcPr>
            <w:tcW w:w="3536" w:type="dxa"/>
          </w:tcPr>
          <w:p w14:paraId="01AC76C7" w14:textId="77777777" w:rsidR="008971BF" w:rsidRPr="008971BF" w:rsidRDefault="008971BF" w:rsidP="008971BF">
            <w:pPr>
              <w:jc w:val="center"/>
            </w:pPr>
            <w:r w:rsidRPr="008971BF">
              <w:t>Найменування послуг (операцій)</w:t>
            </w:r>
          </w:p>
        </w:tc>
        <w:tc>
          <w:tcPr>
            <w:tcW w:w="2410" w:type="dxa"/>
          </w:tcPr>
          <w:p w14:paraId="505553CF" w14:textId="77777777" w:rsidR="008971BF" w:rsidRPr="008971BF" w:rsidRDefault="008971BF" w:rsidP="008971BF">
            <w:pPr>
              <w:jc w:val="center"/>
            </w:pPr>
            <w:r w:rsidRPr="008971BF">
              <w:t>Одиниця виміру</w:t>
            </w:r>
          </w:p>
        </w:tc>
        <w:tc>
          <w:tcPr>
            <w:tcW w:w="1417" w:type="dxa"/>
          </w:tcPr>
          <w:p w14:paraId="747D09C9" w14:textId="77777777" w:rsidR="008971BF" w:rsidRPr="008971BF" w:rsidRDefault="008971BF" w:rsidP="008971BF">
            <w:pPr>
              <w:jc w:val="center"/>
            </w:pPr>
            <w:r w:rsidRPr="008971BF">
              <w:t>Тарифи</w:t>
            </w:r>
          </w:p>
        </w:tc>
      </w:tr>
    </w:tbl>
    <w:p w14:paraId="5A1CD3A1" w14:textId="77777777" w:rsidR="00544CE2" w:rsidRPr="00544CE2" w:rsidRDefault="00544CE2">
      <w:pPr>
        <w:rPr>
          <w:sz w:val="2"/>
        </w:rPr>
      </w:pPr>
    </w:p>
    <w:tbl>
      <w:tblPr>
        <w:tblStyle w:val="a9"/>
        <w:tblW w:w="9634" w:type="dxa"/>
        <w:tblLayout w:type="fixed"/>
        <w:tblLook w:val="04A0" w:firstRow="1" w:lastRow="0" w:firstColumn="1" w:lastColumn="0" w:noHBand="0" w:noVBand="1"/>
      </w:tblPr>
      <w:tblGrid>
        <w:gridCol w:w="753"/>
        <w:gridCol w:w="1518"/>
        <w:gridCol w:w="3536"/>
        <w:gridCol w:w="2410"/>
        <w:gridCol w:w="1417"/>
      </w:tblGrid>
      <w:tr w:rsidR="008971BF" w:rsidRPr="008971BF" w14:paraId="74F0AEF2" w14:textId="77777777" w:rsidTr="003B45D0">
        <w:trPr>
          <w:tblHeader/>
        </w:trPr>
        <w:tc>
          <w:tcPr>
            <w:tcW w:w="753" w:type="dxa"/>
          </w:tcPr>
          <w:p w14:paraId="1EEFB051" w14:textId="77777777" w:rsidR="008971BF" w:rsidRPr="008971BF" w:rsidRDefault="008971BF" w:rsidP="008971BF">
            <w:pPr>
              <w:jc w:val="center"/>
              <w:rPr>
                <w:lang w:val="en-US"/>
              </w:rPr>
            </w:pPr>
            <w:r w:rsidRPr="008971BF">
              <w:rPr>
                <w:lang w:val="en-US"/>
              </w:rPr>
              <w:t>1</w:t>
            </w:r>
          </w:p>
        </w:tc>
        <w:tc>
          <w:tcPr>
            <w:tcW w:w="1518" w:type="dxa"/>
          </w:tcPr>
          <w:p w14:paraId="6C4BCB52" w14:textId="77777777" w:rsidR="008971BF" w:rsidRPr="008971BF" w:rsidRDefault="008971BF" w:rsidP="008971BF">
            <w:pPr>
              <w:jc w:val="center"/>
              <w:rPr>
                <w:lang w:val="en-US"/>
              </w:rPr>
            </w:pPr>
            <w:r w:rsidRPr="008971BF">
              <w:rPr>
                <w:lang w:val="en-US"/>
              </w:rPr>
              <w:t>2</w:t>
            </w:r>
          </w:p>
        </w:tc>
        <w:tc>
          <w:tcPr>
            <w:tcW w:w="3536" w:type="dxa"/>
          </w:tcPr>
          <w:p w14:paraId="32C3F5F6" w14:textId="77777777" w:rsidR="008971BF" w:rsidRPr="008971BF" w:rsidRDefault="008971BF" w:rsidP="008971BF">
            <w:pPr>
              <w:jc w:val="center"/>
              <w:rPr>
                <w:lang w:val="en-US"/>
              </w:rPr>
            </w:pPr>
            <w:r w:rsidRPr="008971BF">
              <w:rPr>
                <w:lang w:val="en-US"/>
              </w:rPr>
              <w:t>3</w:t>
            </w:r>
          </w:p>
        </w:tc>
        <w:tc>
          <w:tcPr>
            <w:tcW w:w="2410" w:type="dxa"/>
          </w:tcPr>
          <w:p w14:paraId="22BFAADF" w14:textId="77777777" w:rsidR="008971BF" w:rsidRPr="008971BF" w:rsidRDefault="008971BF" w:rsidP="008971BF">
            <w:pPr>
              <w:jc w:val="center"/>
              <w:rPr>
                <w:lang w:val="en-US"/>
              </w:rPr>
            </w:pPr>
            <w:r w:rsidRPr="008971BF">
              <w:rPr>
                <w:lang w:val="en-US"/>
              </w:rPr>
              <w:t>4</w:t>
            </w:r>
          </w:p>
        </w:tc>
        <w:tc>
          <w:tcPr>
            <w:tcW w:w="1417" w:type="dxa"/>
          </w:tcPr>
          <w:p w14:paraId="2E0AF1F2" w14:textId="77777777" w:rsidR="008971BF" w:rsidRPr="008971BF" w:rsidRDefault="008971BF" w:rsidP="008971BF">
            <w:pPr>
              <w:jc w:val="center"/>
              <w:rPr>
                <w:lang w:val="en-US"/>
              </w:rPr>
            </w:pPr>
            <w:r w:rsidRPr="008971BF">
              <w:rPr>
                <w:lang w:val="en-US"/>
              </w:rPr>
              <w:t>5</w:t>
            </w:r>
          </w:p>
        </w:tc>
      </w:tr>
      <w:tr w:rsidR="008971BF" w:rsidRPr="008971BF" w14:paraId="1E213C7C" w14:textId="77777777" w:rsidTr="003B45D0">
        <w:tc>
          <w:tcPr>
            <w:tcW w:w="753" w:type="dxa"/>
          </w:tcPr>
          <w:p w14:paraId="5074788B" w14:textId="77777777" w:rsidR="008971BF" w:rsidRPr="008971BF" w:rsidRDefault="008971BF" w:rsidP="008971BF">
            <w:pPr>
              <w:jc w:val="center"/>
            </w:pPr>
            <w:r w:rsidRPr="008971BF">
              <w:t>1</w:t>
            </w:r>
          </w:p>
        </w:tc>
        <w:tc>
          <w:tcPr>
            <w:tcW w:w="1518" w:type="dxa"/>
          </w:tcPr>
          <w:p w14:paraId="1F414570" w14:textId="77777777" w:rsidR="008971BF" w:rsidRPr="008971BF" w:rsidRDefault="008971BF" w:rsidP="008971BF">
            <w:pPr>
              <w:jc w:val="center"/>
            </w:pPr>
            <w:r w:rsidRPr="008971BF">
              <w:t>1</w:t>
            </w:r>
          </w:p>
        </w:tc>
        <w:tc>
          <w:tcPr>
            <w:tcW w:w="3536" w:type="dxa"/>
          </w:tcPr>
          <w:p w14:paraId="2611A478" w14:textId="77777777" w:rsidR="008971BF" w:rsidRPr="008971BF" w:rsidRDefault="008971BF" w:rsidP="008971BF">
            <w:pPr>
              <w:jc w:val="left"/>
            </w:pPr>
            <w:r w:rsidRPr="008971BF">
              <w:t>Відкриття рахунку в цінних паперах</w:t>
            </w:r>
          </w:p>
        </w:tc>
        <w:tc>
          <w:tcPr>
            <w:tcW w:w="2410" w:type="dxa"/>
          </w:tcPr>
          <w:p w14:paraId="0DDF4DB6" w14:textId="77777777" w:rsidR="008971BF" w:rsidRPr="008971BF" w:rsidRDefault="008971BF" w:rsidP="008971BF">
            <w:pPr>
              <w:jc w:val="center"/>
            </w:pPr>
            <w:r w:rsidRPr="008971BF">
              <w:t>1 операція</w:t>
            </w:r>
          </w:p>
        </w:tc>
        <w:tc>
          <w:tcPr>
            <w:tcW w:w="1417" w:type="dxa"/>
          </w:tcPr>
          <w:p w14:paraId="4AB508D9" w14:textId="77777777" w:rsidR="008971BF" w:rsidRPr="008971BF" w:rsidRDefault="008971BF" w:rsidP="00026669">
            <w:pPr>
              <w:jc w:val="center"/>
            </w:pPr>
            <w:r w:rsidRPr="008971BF">
              <w:t>1</w:t>
            </w:r>
            <w:r w:rsidR="00026669">
              <w:rPr>
                <w:lang w:val="ru-RU"/>
              </w:rPr>
              <w:t> </w:t>
            </w:r>
            <w:r w:rsidRPr="008971BF">
              <w:t>500</w:t>
            </w:r>
            <w:r w:rsidR="00026669">
              <w:rPr>
                <w:lang w:val="ru-RU"/>
              </w:rPr>
              <w:t> </w:t>
            </w:r>
            <w:r w:rsidRPr="008971BF">
              <w:t>грн</w:t>
            </w:r>
          </w:p>
        </w:tc>
      </w:tr>
      <w:tr w:rsidR="008971BF" w:rsidRPr="008971BF" w14:paraId="0E20EA3E" w14:textId="77777777" w:rsidTr="003B45D0">
        <w:trPr>
          <w:trHeight w:val="4254"/>
        </w:trPr>
        <w:tc>
          <w:tcPr>
            <w:tcW w:w="753" w:type="dxa"/>
          </w:tcPr>
          <w:p w14:paraId="7C1A17BE" w14:textId="2A55A2B5" w:rsidR="008971BF" w:rsidRPr="008971BF" w:rsidRDefault="00970F30" w:rsidP="00970F30">
            <w:pPr>
              <w:ind w:left="-113" w:right="-58"/>
              <w:jc w:val="center"/>
            </w:pPr>
            <w:r>
              <w:t>2</w:t>
            </w:r>
          </w:p>
        </w:tc>
        <w:tc>
          <w:tcPr>
            <w:tcW w:w="1518" w:type="dxa"/>
          </w:tcPr>
          <w:p w14:paraId="100DC4CB" w14:textId="77777777" w:rsidR="008971BF" w:rsidRPr="008971BF" w:rsidRDefault="008971BF" w:rsidP="008971BF">
            <w:pPr>
              <w:jc w:val="center"/>
            </w:pPr>
            <w:r w:rsidRPr="008971BF">
              <w:t>2</w:t>
            </w:r>
          </w:p>
        </w:tc>
        <w:tc>
          <w:tcPr>
            <w:tcW w:w="3536" w:type="dxa"/>
          </w:tcPr>
          <w:p w14:paraId="7B436174" w14:textId="75C2203E" w:rsidR="008971BF" w:rsidRPr="008971BF" w:rsidRDefault="008971BF" w:rsidP="000E5CB6">
            <w:pPr>
              <w:jc w:val="left"/>
            </w:pPr>
            <w:r w:rsidRPr="008971BF">
              <w:t>Абонентська плата за супроводження рахунку в цінних паперах депонента в системі депозитарного обліку Національного банку (</w:t>
            </w:r>
            <w:r w:rsidR="000E5CB6">
              <w:t>в</w:t>
            </w:r>
            <w:r w:rsidRPr="008971BF">
              <w:t>ключаючи надання інформаційних довідок із системи депозитарного обліку Національного банку та інформаційних повідомлень щодо державних цінних паперів, розміщених за межами України)</w:t>
            </w:r>
          </w:p>
        </w:tc>
        <w:tc>
          <w:tcPr>
            <w:tcW w:w="2410" w:type="dxa"/>
          </w:tcPr>
          <w:p w14:paraId="62FEAACE" w14:textId="77777777" w:rsidR="008971BF" w:rsidRPr="008971BF" w:rsidRDefault="008971BF" w:rsidP="008971BF">
            <w:pPr>
              <w:jc w:val="center"/>
            </w:pPr>
            <w:r w:rsidRPr="008971BF">
              <w:t>За повний чи неповний розрахунковий період (незалежно від наявності операцій та залишків цінних паперів на рахунку)</w:t>
            </w:r>
          </w:p>
        </w:tc>
        <w:tc>
          <w:tcPr>
            <w:tcW w:w="1417" w:type="dxa"/>
          </w:tcPr>
          <w:p w14:paraId="5EEB90DA" w14:textId="77777777" w:rsidR="008971BF" w:rsidRPr="008971BF" w:rsidRDefault="008971BF" w:rsidP="00026669">
            <w:pPr>
              <w:jc w:val="center"/>
            </w:pPr>
            <w:r w:rsidRPr="008971BF">
              <w:t>460</w:t>
            </w:r>
            <w:r w:rsidR="00026669">
              <w:rPr>
                <w:lang w:val="ru-RU"/>
              </w:rPr>
              <w:t> </w:t>
            </w:r>
            <w:r w:rsidRPr="008971BF">
              <w:t>грн</w:t>
            </w:r>
          </w:p>
        </w:tc>
      </w:tr>
      <w:tr w:rsidR="008971BF" w:rsidRPr="008971BF" w14:paraId="23C25194" w14:textId="77777777" w:rsidTr="003B45D0">
        <w:tc>
          <w:tcPr>
            <w:tcW w:w="753" w:type="dxa"/>
          </w:tcPr>
          <w:p w14:paraId="1FC70758" w14:textId="77777777" w:rsidR="008971BF" w:rsidRPr="008971BF" w:rsidRDefault="008971BF" w:rsidP="008971BF">
            <w:pPr>
              <w:jc w:val="center"/>
            </w:pPr>
            <w:r w:rsidRPr="008971BF">
              <w:t>3</w:t>
            </w:r>
          </w:p>
        </w:tc>
        <w:tc>
          <w:tcPr>
            <w:tcW w:w="1518" w:type="dxa"/>
          </w:tcPr>
          <w:p w14:paraId="31718500" w14:textId="77777777" w:rsidR="008971BF" w:rsidRPr="008971BF" w:rsidRDefault="008971BF" w:rsidP="008971BF">
            <w:pPr>
              <w:jc w:val="center"/>
            </w:pPr>
            <w:r w:rsidRPr="008971BF">
              <w:t>3</w:t>
            </w:r>
          </w:p>
        </w:tc>
        <w:tc>
          <w:tcPr>
            <w:tcW w:w="3536" w:type="dxa"/>
          </w:tcPr>
          <w:p w14:paraId="6B081628" w14:textId="68909002" w:rsidR="008971BF" w:rsidRPr="008971BF" w:rsidRDefault="008971BF" w:rsidP="007427CD">
            <w:pPr>
              <w:jc w:val="left"/>
            </w:pPr>
            <w:r w:rsidRPr="008971BF">
              <w:t xml:space="preserve">Відображення в системі депозитарного обліку Національного банку правочину, який включено в </w:t>
            </w:r>
            <w:proofErr w:type="spellStart"/>
            <w:r w:rsidRPr="008971BF">
              <w:t>неттінгові</w:t>
            </w:r>
            <w:proofErr w:type="spellEnd"/>
            <w:r w:rsidRPr="008971BF">
              <w:t xml:space="preserve"> розрахунки/ проведення операцій між балансовими рахунками депонента, </w:t>
            </w:r>
            <w:r w:rsidR="007427CD">
              <w:t>в</w:t>
            </w:r>
            <w:r w:rsidRPr="008971BF">
              <w:t>ключаючи блокування, розблокування цінних паперів</w:t>
            </w:r>
          </w:p>
        </w:tc>
        <w:tc>
          <w:tcPr>
            <w:tcW w:w="2410" w:type="dxa"/>
          </w:tcPr>
          <w:p w14:paraId="3046EF79" w14:textId="77777777" w:rsidR="008971BF" w:rsidRPr="008971BF" w:rsidRDefault="008971BF" w:rsidP="0031090D">
            <w:pPr>
              <w:ind w:left="-106" w:right="-105"/>
              <w:jc w:val="center"/>
            </w:pPr>
            <w:r w:rsidRPr="008971BF">
              <w:t>1 операція/правочин</w:t>
            </w:r>
          </w:p>
        </w:tc>
        <w:tc>
          <w:tcPr>
            <w:tcW w:w="1417" w:type="dxa"/>
          </w:tcPr>
          <w:p w14:paraId="2C5DC103" w14:textId="77777777" w:rsidR="008971BF" w:rsidRPr="008971BF" w:rsidRDefault="008971BF" w:rsidP="008971BF">
            <w:pPr>
              <w:jc w:val="center"/>
            </w:pPr>
            <w:r w:rsidRPr="008971BF">
              <w:t>6 грн</w:t>
            </w:r>
          </w:p>
        </w:tc>
      </w:tr>
      <w:tr w:rsidR="008971BF" w:rsidRPr="008971BF" w14:paraId="0F2ECE4B" w14:textId="77777777" w:rsidTr="003B45D0">
        <w:tc>
          <w:tcPr>
            <w:tcW w:w="753" w:type="dxa"/>
          </w:tcPr>
          <w:p w14:paraId="70C06B29" w14:textId="77777777" w:rsidR="008971BF" w:rsidRPr="008971BF" w:rsidRDefault="008971BF" w:rsidP="008971BF">
            <w:pPr>
              <w:jc w:val="center"/>
            </w:pPr>
            <w:r w:rsidRPr="008971BF">
              <w:t>4</w:t>
            </w:r>
          </w:p>
        </w:tc>
        <w:tc>
          <w:tcPr>
            <w:tcW w:w="1518" w:type="dxa"/>
          </w:tcPr>
          <w:p w14:paraId="20DC0047" w14:textId="77777777" w:rsidR="008971BF" w:rsidRPr="008971BF" w:rsidRDefault="008971BF" w:rsidP="008971BF">
            <w:pPr>
              <w:jc w:val="center"/>
            </w:pPr>
            <w:r w:rsidRPr="008971BF">
              <w:t>4</w:t>
            </w:r>
          </w:p>
        </w:tc>
        <w:tc>
          <w:tcPr>
            <w:tcW w:w="3536" w:type="dxa"/>
          </w:tcPr>
          <w:p w14:paraId="33036B5A" w14:textId="0CF1822F" w:rsidR="008971BF" w:rsidRPr="008971BF" w:rsidRDefault="008971BF" w:rsidP="00C36B8E">
            <w:pPr>
              <w:jc w:val="left"/>
            </w:pPr>
            <w:r w:rsidRPr="008971BF">
              <w:t xml:space="preserve">Обслуговування розрахунків у цінних паперах, проведених за принципом </w:t>
            </w:r>
            <w:r w:rsidRPr="008971BF">
              <w:rPr>
                <w:lang w:val="ru-RU"/>
              </w:rPr>
              <w:t>“</w:t>
            </w:r>
            <w:r w:rsidRPr="008971BF">
              <w:t>поставка цінних паперів проти оплати</w:t>
            </w:r>
            <w:r w:rsidRPr="008971BF">
              <w:rPr>
                <w:lang w:val="ru-RU"/>
              </w:rPr>
              <w:t>”</w:t>
            </w:r>
            <w:r w:rsidRPr="008971BF">
              <w:t xml:space="preserve"> та </w:t>
            </w:r>
            <w:r w:rsidRPr="008971BF">
              <w:rPr>
                <w:lang w:val="ru-RU"/>
              </w:rPr>
              <w:t>“</w:t>
            </w:r>
            <w:r w:rsidRPr="008971BF">
              <w:t>поставка цінних паперів без оплати</w:t>
            </w:r>
            <w:r w:rsidRPr="008971BF">
              <w:rPr>
                <w:lang w:val="ru-RU"/>
              </w:rPr>
              <w:t>”</w:t>
            </w:r>
            <w:r w:rsidRPr="008971BF">
              <w:t>, укладених поза організованим ринком капіталу у випадках, передбачених законодавством України (</w:t>
            </w:r>
            <w:r w:rsidR="00C36B8E">
              <w:t>в</w:t>
            </w:r>
            <w:r w:rsidR="005E097D">
              <w:t>ключаючи</w:t>
            </w:r>
            <w:r w:rsidRPr="008971BF">
              <w:t xml:space="preserve"> </w:t>
            </w:r>
            <w:r w:rsidR="00FB79C6">
              <w:t xml:space="preserve">операції </w:t>
            </w:r>
            <w:r w:rsidRPr="008971BF">
              <w:t>без переходу права власності</w:t>
            </w:r>
            <w:r w:rsidR="00FB79C6">
              <w:t xml:space="preserve"> на цінні папери</w:t>
            </w:r>
            <w:r w:rsidRPr="008971BF">
              <w:t>)</w:t>
            </w:r>
          </w:p>
        </w:tc>
        <w:tc>
          <w:tcPr>
            <w:tcW w:w="2410" w:type="dxa"/>
          </w:tcPr>
          <w:p w14:paraId="253A2115" w14:textId="77777777" w:rsidR="008971BF" w:rsidRPr="008971BF" w:rsidRDefault="008971BF" w:rsidP="0031090D">
            <w:pPr>
              <w:ind w:left="-106" w:right="-105"/>
              <w:jc w:val="center"/>
            </w:pPr>
            <w:r w:rsidRPr="008971BF">
              <w:t xml:space="preserve">1 </w:t>
            </w:r>
            <w:r w:rsidR="0031090D">
              <w:t>о</w:t>
            </w:r>
            <w:r w:rsidRPr="008971BF">
              <w:t>перація/правочин</w:t>
            </w:r>
          </w:p>
        </w:tc>
        <w:tc>
          <w:tcPr>
            <w:tcW w:w="1417" w:type="dxa"/>
          </w:tcPr>
          <w:p w14:paraId="4213DDBF" w14:textId="77777777" w:rsidR="008971BF" w:rsidRPr="008971BF" w:rsidRDefault="008971BF" w:rsidP="008971BF">
            <w:pPr>
              <w:jc w:val="center"/>
            </w:pPr>
            <w:r w:rsidRPr="008971BF">
              <w:t>250 грн</w:t>
            </w:r>
          </w:p>
        </w:tc>
      </w:tr>
      <w:tr w:rsidR="008971BF" w:rsidRPr="008971BF" w14:paraId="2D61F8C7" w14:textId="77777777" w:rsidTr="003B45D0">
        <w:tc>
          <w:tcPr>
            <w:tcW w:w="753" w:type="dxa"/>
          </w:tcPr>
          <w:p w14:paraId="11ACC7ED" w14:textId="77777777" w:rsidR="008971BF" w:rsidRPr="008971BF" w:rsidRDefault="008971BF" w:rsidP="008971BF">
            <w:pPr>
              <w:jc w:val="center"/>
            </w:pPr>
            <w:r w:rsidRPr="008971BF">
              <w:t>5</w:t>
            </w:r>
          </w:p>
        </w:tc>
        <w:tc>
          <w:tcPr>
            <w:tcW w:w="1518" w:type="dxa"/>
            <w:vMerge w:val="restart"/>
          </w:tcPr>
          <w:p w14:paraId="2C7E76D0" w14:textId="77777777" w:rsidR="008971BF" w:rsidRPr="008971BF" w:rsidRDefault="008971BF" w:rsidP="008971BF">
            <w:pPr>
              <w:jc w:val="center"/>
            </w:pPr>
            <w:r w:rsidRPr="008971BF">
              <w:t>5</w:t>
            </w:r>
          </w:p>
        </w:tc>
        <w:tc>
          <w:tcPr>
            <w:tcW w:w="3536" w:type="dxa"/>
          </w:tcPr>
          <w:p w14:paraId="0AA0C762" w14:textId="251AD675" w:rsidR="008971BF" w:rsidRPr="008971BF" w:rsidRDefault="008971BF" w:rsidP="008971BF">
            <w:pPr>
              <w:jc w:val="left"/>
            </w:pPr>
            <w:r w:rsidRPr="008971BF">
              <w:t>Виконання облікових депозитарних операцій із цінними паперами в процесі розміщення, погашення, конвертації, здійснення виплати доходів за цінними паперами в сумі</w:t>
            </w:r>
          </w:p>
        </w:tc>
        <w:tc>
          <w:tcPr>
            <w:tcW w:w="2410" w:type="dxa"/>
            <w:vMerge w:val="restart"/>
          </w:tcPr>
          <w:p w14:paraId="550DA875" w14:textId="77777777" w:rsidR="008971BF" w:rsidRPr="008971BF" w:rsidRDefault="008971BF" w:rsidP="008971BF">
            <w:pPr>
              <w:jc w:val="center"/>
            </w:pPr>
            <w:r w:rsidRPr="008971BF">
              <w:t>1 операція</w:t>
            </w:r>
          </w:p>
        </w:tc>
        <w:tc>
          <w:tcPr>
            <w:tcW w:w="1417" w:type="dxa"/>
          </w:tcPr>
          <w:p w14:paraId="080470A4" w14:textId="77777777" w:rsidR="008971BF" w:rsidRPr="008971BF" w:rsidRDefault="008971BF" w:rsidP="008971BF">
            <w:pPr>
              <w:jc w:val="center"/>
            </w:pPr>
          </w:p>
        </w:tc>
      </w:tr>
      <w:tr w:rsidR="008971BF" w:rsidRPr="008971BF" w14:paraId="4442CC2A" w14:textId="77777777" w:rsidTr="003B45D0">
        <w:tc>
          <w:tcPr>
            <w:tcW w:w="753" w:type="dxa"/>
          </w:tcPr>
          <w:p w14:paraId="2291C2C9" w14:textId="77777777" w:rsidR="008971BF" w:rsidRPr="008971BF" w:rsidRDefault="008971BF" w:rsidP="008971BF">
            <w:pPr>
              <w:jc w:val="center"/>
            </w:pPr>
            <w:r w:rsidRPr="008971BF">
              <w:t>6</w:t>
            </w:r>
          </w:p>
        </w:tc>
        <w:tc>
          <w:tcPr>
            <w:tcW w:w="1518" w:type="dxa"/>
            <w:vMerge/>
          </w:tcPr>
          <w:p w14:paraId="4CEA605A" w14:textId="77777777" w:rsidR="008971BF" w:rsidRPr="008971BF" w:rsidRDefault="008971BF" w:rsidP="008971BF">
            <w:pPr>
              <w:jc w:val="center"/>
            </w:pPr>
          </w:p>
        </w:tc>
        <w:tc>
          <w:tcPr>
            <w:tcW w:w="3536" w:type="dxa"/>
          </w:tcPr>
          <w:p w14:paraId="567F3389" w14:textId="77777777" w:rsidR="008971BF" w:rsidRPr="008971BF" w:rsidRDefault="008971BF" w:rsidP="00026669">
            <w:pPr>
              <w:jc w:val="left"/>
            </w:pPr>
            <w:r w:rsidRPr="008971BF">
              <w:t>до 500</w:t>
            </w:r>
            <w:r w:rsidR="00026669">
              <w:rPr>
                <w:lang w:val="ru-RU"/>
              </w:rPr>
              <w:t> </w:t>
            </w:r>
            <w:r w:rsidRPr="008971BF">
              <w:t>00</w:t>
            </w:r>
            <w:r w:rsidR="00026669">
              <w:rPr>
                <w:lang w:val="ru-RU"/>
              </w:rPr>
              <w:t>0</w:t>
            </w:r>
            <w:r w:rsidR="00026669">
              <w:t> </w:t>
            </w:r>
            <w:r w:rsidRPr="008971BF">
              <w:t>грн</w:t>
            </w:r>
          </w:p>
        </w:tc>
        <w:tc>
          <w:tcPr>
            <w:tcW w:w="2410" w:type="dxa"/>
            <w:vMerge/>
          </w:tcPr>
          <w:p w14:paraId="68E8FC9D" w14:textId="77777777" w:rsidR="008971BF" w:rsidRPr="008971BF" w:rsidRDefault="008971BF" w:rsidP="008971BF">
            <w:pPr>
              <w:jc w:val="center"/>
            </w:pPr>
          </w:p>
        </w:tc>
        <w:tc>
          <w:tcPr>
            <w:tcW w:w="1417" w:type="dxa"/>
          </w:tcPr>
          <w:p w14:paraId="4D2FF7D0" w14:textId="77777777" w:rsidR="008971BF" w:rsidRPr="008971BF" w:rsidRDefault="008971BF" w:rsidP="008971BF">
            <w:pPr>
              <w:jc w:val="center"/>
            </w:pPr>
            <w:r w:rsidRPr="008971BF">
              <w:t>150 грн</w:t>
            </w:r>
          </w:p>
        </w:tc>
      </w:tr>
      <w:tr w:rsidR="008971BF" w:rsidRPr="008971BF" w14:paraId="17E85A8F" w14:textId="77777777" w:rsidTr="003B45D0">
        <w:tc>
          <w:tcPr>
            <w:tcW w:w="753" w:type="dxa"/>
          </w:tcPr>
          <w:p w14:paraId="519F4CC9" w14:textId="77777777" w:rsidR="008971BF" w:rsidRPr="008971BF" w:rsidRDefault="008971BF" w:rsidP="008971BF">
            <w:pPr>
              <w:jc w:val="center"/>
            </w:pPr>
            <w:r w:rsidRPr="008971BF">
              <w:t>7</w:t>
            </w:r>
          </w:p>
        </w:tc>
        <w:tc>
          <w:tcPr>
            <w:tcW w:w="1518" w:type="dxa"/>
            <w:vMerge/>
          </w:tcPr>
          <w:p w14:paraId="67519994" w14:textId="77777777" w:rsidR="008971BF" w:rsidRPr="008971BF" w:rsidRDefault="008971BF" w:rsidP="008971BF">
            <w:pPr>
              <w:jc w:val="center"/>
            </w:pPr>
          </w:p>
        </w:tc>
        <w:tc>
          <w:tcPr>
            <w:tcW w:w="3536" w:type="dxa"/>
          </w:tcPr>
          <w:p w14:paraId="407DA572" w14:textId="77777777" w:rsidR="008971BF" w:rsidRPr="008971BF" w:rsidRDefault="008971BF" w:rsidP="00026669">
            <w:pPr>
              <w:jc w:val="left"/>
            </w:pPr>
            <w:r w:rsidRPr="008971BF">
              <w:t>від 500</w:t>
            </w:r>
            <w:r w:rsidR="00026669">
              <w:t> </w:t>
            </w:r>
            <w:r w:rsidRPr="008971BF">
              <w:t>000 грн до 50</w:t>
            </w:r>
            <w:r>
              <w:rPr>
                <w:lang w:val="en-US"/>
              </w:rPr>
              <w:t> </w:t>
            </w:r>
            <w:r w:rsidRPr="008971BF">
              <w:t>000</w:t>
            </w:r>
            <w:r>
              <w:rPr>
                <w:lang w:val="en-US"/>
              </w:rPr>
              <w:t> </w:t>
            </w:r>
            <w:r w:rsidRPr="008971BF">
              <w:t>000 грн</w:t>
            </w:r>
          </w:p>
        </w:tc>
        <w:tc>
          <w:tcPr>
            <w:tcW w:w="2410" w:type="dxa"/>
            <w:vMerge/>
          </w:tcPr>
          <w:p w14:paraId="2F40E8B9" w14:textId="77777777" w:rsidR="008971BF" w:rsidRPr="008971BF" w:rsidRDefault="008971BF" w:rsidP="008971BF">
            <w:pPr>
              <w:jc w:val="center"/>
            </w:pPr>
          </w:p>
        </w:tc>
        <w:tc>
          <w:tcPr>
            <w:tcW w:w="1417" w:type="dxa"/>
          </w:tcPr>
          <w:p w14:paraId="682CC0AB" w14:textId="77777777" w:rsidR="008971BF" w:rsidRPr="008971BF" w:rsidRDefault="008971BF" w:rsidP="008971BF">
            <w:pPr>
              <w:jc w:val="center"/>
            </w:pPr>
            <w:r w:rsidRPr="008971BF">
              <w:t>200 грн</w:t>
            </w:r>
          </w:p>
        </w:tc>
      </w:tr>
      <w:tr w:rsidR="008971BF" w:rsidRPr="008971BF" w14:paraId="67EF7E59" w14:textId="77777777" w:rsidTr="003B45D0">
        <w:tc>
          <w:tcPr>
            <w:tcW w:w="753" w:type="dxa"/>
          </w:tcPr>
          <w:p w14:paraId="47E6CBC8" w14:textId="77777777" w:rsidR="008971BF" w:rsidRPr="008971BF" w:rsidRDefault="008971BF" w:rsidP="008971BF">
            <w:pPr>
              <w:jc w:val="center"/>
            </w:pPr>
            <w:r w:rsidRPr="008971BF">
              <w:t>8</w:t>
            </w:r>
          </w:p>
        </w:tc>
        <w:tc>
          <w:tcPr>
            <w:tcW w:w="1518" w:type="dxa"/>
            <w:vMerge/>
          </w:tcPr>
          <w:p w14:paraId="7C249B75" w14:textId="77777777" w:rsidR="008971BF" w:rsidRPr="008971BF" w:rsidRDefault="008971BF" w:rsidP="008971BF">
            <w:pPr>
              <w:jc w:val="center"/>
            </w:pPr>
          </w:p>
        </w:tc>
        <w:tc>
          <w:tcPr>
            <w:tcW w:w="3536" w:type="dxa"/>
          </w:tcPr>
          <w:p w14:paraId="236CD59C" w14:textId="77777777" w:rsidR="008971BF" w:rsidRPr="008971BF" w:rsidRDefault="008971BF" w:rsidP="00026669">
            <w:pPr>
              <w:jc w:val="left"/>
            </w:pPr>
            <w:r w:rsidRPr="008971BF">
              <w:t>понад 50</w:t>
            </w:r>
            <w:r w:rsidR="00026669">
              <w:t> </w:t>
            </w:r>
            <w:r w:rsidRPr="008971BF">
              <w:t>000</w:t>
            </w:r>
            <w:r w:rsidR="00026669">
              <w:t> </w:t>
            </w:r>
            <w:r w:rsidRPr="008971BF">
              <w:t>000 грн</w:t>
            </w:r>
          </w:p>
        </w:tc>
        <w:tc>
          <w:tcPr>
            <w:tcW w:w="2410" w:type="dxa"/>
            <w:vMerge/>
          </w:tcPr>
          <w:p w14:paraId="214B9020" w14:textId="77777777" w:rsidR="008971BF" w:rsidRPr="008971BF" w:rsidRDefault="008971BF" w:rsidP="008971BF">
            <w:pPr>
              <w:jc w:val="center"/>
            </w:pPr>
          </w:p>
        </w:tc>
        <w:tc>
          <w:tcPr>
            <w:tcW w:w="1417" w:type="dxa"/>
          </w:tcPr>
          <w:p w14:paraId="6AE4D5EB" w14:textId="77777777" w:rsidR="008971BF" w:rsidRPr="008971BF" w:rsidRDefault="008971BF" w:rsidP="008971BF">
            <w:pPr>
              <w:jc w:val="center"/>
            </w:pPr>
            <w:r w:rsidRPr="008971BF">
              <w:t>400 грн</w:t>
            </w:r>
          </w:p>
        </w:tc>
      </w:tr>
      <w:tr w:rsidR="008971BF" w:rsidRPr="008971BF" w14:paraId="6896EB85" w14:textId="77777777" w:rsidTr="003B45D0">
        <w:tc>
          <w:tcPr>
            <w:tcW w:w="753" w:type="dxa"/>
          </w:tcPr>
          <w:p w14:paraId="69CEFE69" w14:textId="77777777" w:rsidR="008971BF" w:rsidRPr="008971BF" w:rsidRDefault="008971BF" w:rsidP="008971BF">
            <w:pPr>
              <w:jc w:val="center"/>
            </w:pPr>
            <w:r w:rsidRPr="008971BF">
              <w:t>9</w:t>
            </w:r>
          </w:p>
        </w:tc>
        <w:tc>
          <w:tcPr>
            <w:tcW w:w="1518" w:type="dxa"/>
          </w:tcPr>
          <w:p w14:paraId="4502F96E" w14:textId="77777777" w:rsidR="008971BF" w:rsidRPr="008971BF" w:rsidRDefault="008971BF" w:rsidP="008971BF">
            <w:pPr>
              <w:jc w:val="center"/>
            </w:pPr>
            <w:r w:rsidRPr="008971BF">
              <w:t>6</w:t>
            </w:r>
          </w:p>
        </w:tc>
        <w:tc>
          <w:tcPr>
            <w:tcW w:w="3536" w:type="dxa"/>
          </w:tcPr>
          <w:p w14:paraId="1E27D165" w14:textId="77777777" w:rsidR="008971BF" w:rsidRPr="008971BF" w:rsidRDefault="008971BF" w:rsidP="008971BF">
            <w:pPr>
              <w:jc w:val="left"/>
            </w:pPr>
            <w:r w:rsidRPr="008971BF">
              <w:t>Зберігання цінних паперів на рахунку в цінних паперах депонента</w:t>
            </w:r>
          </w:p>
        </w:tc>
        <w:tc>
          <w:tcPr>
            <w:tcW w:w="2410" w:type="dxa"/>
          </w:tcPr>
          <w:p w14:paraId="7898E0C3" w14:textId="77777777" w:rsidR="008971BF" w:rsidRPr="008971BF" w:rsidRDefault="008971BF" w:rsidP="008971BF">
            <w:pPr>
              <w:jc w:val="center"/>
            </w:pPr>
            <w:r w:rsidRPr="008971BF">
              <w:t>% від середньої номінально-амортизаційної вартості цінних паперів за розрахунковий період</w:t>
            </w:r>
          </w:p>
        </w:tc>
        <w:tc>
          <w:tcPr>
            <w:tcW w:w="1417" w:type="dxa"/>
          </w:tcPr>
          <w:p w14:paraId="1BF38736" w14:textId="77777777" w:rsidR="008971BF" w:rsidRPr="008971BF" w:rsidRDefault="008971BF" w:rsidP="008971BF">
            <w:pPr>
              <w:jc w:val="center"/>
            </w:pPr>
            <w:r w:rsidRPr="008971BF">
              <w:t>0,00028%</w:t>
            </w:r>
          </w:p>
        </w:tc>
      </w:tr>
      <w:tr w:rsidR="008971BF" w:rsidRPr="008971BF" w14:paraId="344325C7" w14:textId="77777777" w:rsidTr="003B45D0">
        <w:tc>
          <w:tcPr>
            <w:tcW w:w="753" w:type="dxa"/>
          </w:tcPr>
          <w:p w14:paraId="00D64368" w14:textId="77777777" w:rsidR="008971BF" w:rsidRPr="008971BF" w:rsidRDefault="008971BF" w:rsidP="008971BF">
            <w:pPr>
              <w:jc w:val="center"/>
            </w:pPr>
            <w:r w:rsidRPr="008971BF">
              <w:t>10</w:t>
            </w:r>
          </w:p>
        </w:tc>
        <w:tc>
          <w:tcPr>
            <w:tcW w:w="1518" w:type="dxa"/>
          </w:tcPr>
          <w:p w14:paraId="36E4AA73" w14:textId="77777777" w:rsidR="008971BF" w:rsidRPr="008971BF" w:rsidRDefault="008971BF" w:rsidP="008971BF">
            <w:pPr>
              <w:jc w:val="center"/>
            </w:pPr>
            <w:r w:rsidRPr="008971BF">
              <w:t>7</w:t>
            </w:r>
          </w:p>
        </w:tc>
        <w:tc>
          <w:tcPr>
            <w:tcW w:w="3536" w:type="dxa"/>
          </w:tcPr>
          <w:p w14:paraId="7D6BC40F" w14:textId="77777777" w:rsidR="008971BF" w:rsidRPr="008971BF" w:rsidRDefault="008971BF" w:rsidP="008971BF">
            <w:pPr>
              <w:jc w:val="left"/>
            </w:pPr>
            <w:r w:rsidRPr="008971BF">
              <w:t xml:space="preserve">Обслуговування розрахунків у цінних паперах, номінованих у національній валюті, якщо такі розрахунки проведені в межах депозитарної установи за принципом </w:t>
            </w:r>
            <w:r w:rsidRPr="008971BF">
              <w:rPr>
                <w:lang w:val="ru-RU"/>
              </w:rPr>
              <w:t>“</w:t>
            </w:r>
            <w:r w:rsidRPr="008971BF">
              <w:t>поставка цінних паперів без оплати</w:t>
            </w:r>
            <w:r w:rsidRPr="008971BF">
              <w:rPr>
                <w:lang w:val="ru-RU"/>
              </w:rPr>
              <w:t>”</w:t>
            </w:r>
            <w:r w:rsidRPr="008971BF">
              <w:t>, за правочинами, укладеними поза організованим ринком капіталу (</w:t>
            </w:r>
            <w:r w:rsidR="005E097D">
              <w:t>і</w:t>
            </w:r>
            <w:r w:rsidRPr="008971BF">
              <w:t>з переходом права власності) у випадках, передбачених законодавством України</w:t>
            </w:r>
          </w:p>
        </w:tc>
        <w:tc>
          <w:tcPr>
            <w:tcW w:w="2410" w:type="dxa"/>
          </w:tcPr>
          <w:p w14:paraId="2A4D674A" w14:textId="77777777" w:rsidR="008971BF" w:rsidRPr="008971BF" w:rsidRDefault="008971BF" w:rsidP="0031090D">
            <w:pPr>
              <w:ind w:left="-108" w:right="-110"/>
              <w:jc w:val="center"/>
            </w:pPr>
            <w:r w:rsidRPr="008971BF">
              <w:t>1 операція/правочин</w:t>
            </w:r>
          </w:p>
        </w:tc>
        <w:tc>
          <w:tcPr>
            <w:tcW w:w="1417" w:type="dxa"/>
          </w:tcPr>
          <w:p w14:paraId="768054D3" w14:textId="77777777" w:rsidR="008971BF" w:rsidRPr="008971BF" w:rsidRDefault="008971BF" w:rsidP="008971BF">
            <w:pPr>
              <w:jc w:val="center"/>
            </w:pPr>
            <w:r w:rsidRPr="008971BF">
              <w:t>100 грн</w:t>
            </w:r>
          </w:p>
        </w:tc>
      </w:tr>
      <w:tr w:rsidR="008971BF" w:rsidRPr="008971BF" w14:paraId="43702B78" w14:textId="77777777" w:rsidTr="003B45D0">
        <w:tc>
          <w:tcPr>
            <w:tcW w:w="753" w:type="dxa"/>
          </w:tcPr>
          <w:p w14:paraId="0F0D1857" w14:textId="77777777" w:rsidR="008971BF" w:rsidRPr="008971BF" w:rsidRDefault="008971BF" w:rsidP="008971BF">
            <w:pPr>
              <w:jc w:val="center"/>
            </w:pPr>
            <w:r w:rsidRPr="008971BF">
              <w:t>11</w:t>
            </w:r>
          </w:p>
        </w:tc>
        <w:tc>
          <w:tcPr>
            <w:tcW w:w="1518" w:type="dxa"/>
          </w:tcPr>
          <w:p w14:paraId="046B7B4E" w14:textId="77777777" w:rsidR="008971BF" w:rsidRPr="008971BF" w:rsidRDefault="008971BF" w:rsidP="008971BF">
            <w:pPr>
              <w:jc w:val="center"/>
            </w:pPr>
            <w:r w:rsidRPr="008971BF">
              <w:t>8</w:t>
            </w:r>
          </w:p>
        </w:tc>
        <w:tc>
          <w:tcPr>
            <w:tcW w:w="3536" w:type="dxa"/>
          </w:tcPr>
          <w:p w14:paraId="2A660D91" w14:textId="77777777" w:rsidR="008971BF" w:rsidRPr="008971BF" w:rsidRDefault="008971BF" w:rsidP="008971BF">
            <w:pPr>
              <w:jc w:val="left"/>
            </w:pPr>
            <w:r w:rsidRPr="008971BF">
              <w:t>Проведення облікових операцій щодо державних цінних паперів, розміщених за межами України</w:t>
            </w:r>
          </w:p>
        </w:tc>
        <w:tc>
          <w:tcPr>
            <w:tcW w:w="2410" w:type="dxa"/>
          </w:tcPr>
          <w:p w14:paraId="2823504A" w14:textId="77777777" w:rsidR="008971BF" w:rsidRPr="008971BF" w:rsidRDefault="008971BF" w:rsidP="008971BF">
            <w:pPr>
              <w:jc w:val="center"/>
            </w:pPr>
            <w:r w:rsidRPr="008971BF">
              <w:t>1 розпорядження</w:t>
            </w:r>
          </w:p>
        </w:tc>
        <w:tc>
          <w:tcPr>
            <w:tcW w:w="1417" w:type="dxa"/>
          </w:tcPr>
          <w:p w14:paraId="6DCBEDD6" w14:textId="77777777" w:rsidR="008971BF" w:rsidRPr="008971BF" w:rsidRDefault="008971BF" w:rsidP="008971BF">
            <w:pPr>
              <w:jc w:val="center"/>
            </w:pPr>
            <w:r w:rsidRPr="008971BF">
              <w:t>18 EUR</w:t>
            </w:r>
          </w:p>
        </w:tc>
      </w:tr>
      <w:tr w:rsidR="008971BF" w:rsidRPr="008971BF" w14:paraId="7AC3A0C5" w14:textId="77777777" w:rsidTr="003B45D0">
        <w:tc>
          <w:tcPr>
            <w:tcW w:w="753" w:type="dxa"/>
          </w:tcPr>
          <w:p w14:paraId="414076D5" w14:textId="77777777" w:rsidR="008971BF" w:rsidRPr="008971BF" w:rsidRDefault="008971BF" w:rsidP="008971BF">
            <w:pPr>
              <w:jc w:val="center"/>
            </w:pPr>
            <w:r w:rsidRPr="008971BF">
              <w:t>12</w:t>
            </w:r>
          </w:p>
        </w:tc>
        <w:tc>
          <w:tcPr>
            <w:tcW w:w="1518" w:type="dxa"/>
          </w:tcPr>
          <w:p w14:paraId="611B93DB" w14:textId="77777777" w:rsidR="008971BF" w:rsidRPr="008971BF" w:rsidRDefault="008971BF" w:rsidP="008971BF">
            <w:pPr>
              <w:jc w:val="center"/>
            </w:pPr>
            <w:r w:rsidRPr="008971BF">
              <w:t>9</w:t>
            </w:r>
          </w:p>
        </w:tc>
        <w:tc>
          <w:tcPr>
            <w:tcW w:w="3536" w:type="dxa"/>
          </w:tcPr>
          <w:p w14:paraId="7A042786" w14:textId="77777777" w:rsidR="008971BF" w:rsidRPr="008971BF" w:rsidRDefault="008971BF" w:rsidP="008971BF">
            <w:pPr>
              <w:jc w:val="left"/>
            </w:pPr>
            <w:r w:rsidRPr="008971BF">
              <w:t>Зберігання (облік) державних цінних паперів, розміщених за межами України</w:t>
            </w:r>
          </w:p>
        </w:tc>
        <w:tc>
          <w:tcPr>
            <w:tcW w:w="2410" w:type="dxa"/>
          </w:tcPr>
          <w:p w14:paraId="0C6D4043" w14:textId="77777777" w:rsidR="008971BF" w:rsidRPr="008971BF" w:rsidRDefault="008971BF" w:rsidP="0016054F">
            <w:pPr>
              <w:jc w:val="center"/>
            </w:pPr>
            <w:r w:rsidRPr="008971BF">
              <w:t>% від середньої номінальної вартості цінних паперів за розрахунковий період</w:t>
            </w:r>
          </w:p>
        </w:tc>
        <w:tc>
          <w:tcPr>
            <w:tcW w:w="1417" w:type="dxa"/>
          </w:tcPr>
          <w:p w14:paraId="5646F220" w14:textId="77777777" w:rsidR="008971BF" w:rsidRPr="008971BF" w:rsidRDefault="008971BF" w:rsidP="008971BF">
            <w:pPr>
              <w:jc w:val="center"/>
            </w:pPr>
            <w:r w:rsidRPr="008971BF">
              <w:t>0,001 %</w:t>
            </w:r>
          </w:p>
        </w:tc>
      </w:tr>
      <w:tr w:rsidR="008971BF" w:rsidRPr="008971BF" w14:paraId="00A9F5EB" w14:textId="77777777" w:rsidTr="003B45D0">
        <w:tc>
          <w:tcPr>
            <w:tcW w:w="753" w:type="dxa"/>
          </w:tcPr>
          <w:p w14:paraId="3DFB9C07" w14:textId="77777777" w:rsidR="008971BF" w:rsidRPr="008971BF" w:rsidRDefault="008971BF" w:rsidP="008971BF">
            <w:pPr>
              <w:jc w:val="center"/>
            </w:pPr>
            <w:r w:rsidRPr="008971BF">
              <w:t>13</w:t>
            </w:r>
          </w:p>
        </w:tc>
        <w:tc>
          <w:tcPr>
            <w:tcW w:w="1518" w:type="dxa"/>
          </w:tcPr>
          <w:p w14:paraId="789D991F" w14:textId="77777777" w:rsidR="008971BF" w:rsidRPr="008971BF" w:rsidRDefault="008971BF" w:rsidP="008971BF">
            <w:pPr>
              <w:jc w:val="center"/>
            </w:pPr>
            <w:r w:rsidRPr="008971BF">
              <w:t>10</w:t>
            </w:r>
          </w:p>
        </w:tc>
        <w:tc>
          <w:tcPr>
            <w:tcW w:w="3536" w:type="dxa"/>
          </w:tcPr>
          <w:p w14:paraId="51083FA2" w14:textId="77777777" w:rsidR="008971BF" w:rsidRPr="008971BF" w:rsidRDefault="008971BF" w:rsidP="008971BF">
            <w:pPr>
              <w:jc w:val="left"/>
            </w:pPr>
            <w:r w:rsidRPr="008971BF">
              <w:t>Обслуговування грошових розрахунків щодо державних цінних паперів, розміщених за межами України</w:t>
            </w:r>
          </w:p>
        </w:tc>
        <w:tc>
          <w:tcPr>
            <w:tcW w:w="2410" w:type="dxa"/>
          </w:tcPr>
          <w:p w14:paraId="447E0FFB" w14:textId="77777777" w:rsidR="008971BF" w:rsidRPr="008971BF" w:rsidRDefault="008971BF" w:rsidP="008971BF">
            <w:pPr>
              <w:jc w:val="center"/>
            </w:pPr>
            <w:r w:rsidRPr="008971BF">
              <w:t>1 розпорядження</w:t>
            </w:r>
          </w:p>
        </w:tc>
        <w:tc>
          <w:tcPr>
            <w:tcW w:w="1417" w:type="dxa"/>
          </w:tcPr>
          <w:p w14:paraId="3337D9C4" w14:textId="77777777" w:rsidR="008971BF" w:rsidRPr="008971BF" w:rsidRDefault="008971BF" w:rsidP="008971BF">
            <w:pPr>
              <w:jc w:val="center"/>
            </w:pPr>
            <w:r w:rsidRPr="008971BF">
              <w:t>25 EUR + додаткові витрати</w:t>
            </w:r>
          </w:p>
        </w:tc>
      </w:tr>
    </w:tbl>
    <w:p w14:paraId="645B81B7" w14:textId="77777777" w:rsidR="00544CE2" w:rsidRPr="00544CE2" w:rsidRDefault="00544CE2" w:rsidP="00544CE2">
      <w:pPr>
        <w:shd w:val="clear" w:color="auto" w:fill="FFFFFF"/>
        <w:ind w:firstLine="567"/>
        <w:jc w:val="center"/>
        <w:rPr>
          <w:color w:val="333333"/>
          <w:lang w:eastAsia="ru-RU"/>
        </w:rPr>
      </w:pPr>
    </w:p>
    <w:p w14:paraId="258C4407" w14:textId="77777777" w:rsidR="008971BF" w:rsidRPr="008661B0" w:rsidRDefault="0004622C" w:rsidP="00544CE2">
      <w:pPr>
        <w:shd w:val="clear" w:color="auto" w:fill="FFFFFF"/>
        <w:ind w:firstLine="567"/>
        <w:rPr>
          <w:lang w:eastAsia="ru-RU"/>
        </w:rPr>
      </w:pPr>
      <w:bookmarkStart w:id="7" w:name="n67"/>
      <w:bookmarkEnd w:id="7"/>
      <w:r w:rsidRPr="008661B0">
        <w:rPr>
          <w:lang w:eastAsia="ru-RU"/>
        </w:rPr>
        <w:t>4</w:t>
      </w:r>
      <w:r w:rsidR="008971BF" w:rsidRPr="008661B0">
        <w:rPr>
          <w:lang w:eastAsia="ru-RU"/>
        </w:rPr>
        <w:t>. Тариф на послуги (операції), зазначен</w:t>
      </w:r>
      <w:r w:rsidR="002757F3" w:rsidRPr="008661B0">
        <w:rPr>
          <w:lang w:eastAsia="ru-RU"/>
        </w:rPr>
        <w:t>ий</w:t>
      </w:r>
      <w:r w:rsidR="008971BF" w:rsidRPr="008661B0">
        <w:rPr>
          <w:lang w:eastAsia="ru-RU"/>
        </w:rPr>
        <w:t xml:space="preserve"> </w:t>
      </w:r>
      <w:r w:rsidR="00533722">
        <w:rPr>
          <w:lang w:eastAsia="ru-RU"/>
        </w:rPr>
        <w:t>у</w:t>
      </w:r>
      <w:r w:rsidR="00533722" w:rsidRPr="008661B0">
        <w:rPr>
          <w:lang w:eastAsia="ru-RU"/>
        </w:rPr>
        <w:t xml:space="preserve"> </w:t>
      </w:r>
      <w:r w:rsidR="008971BF" w:rsidRPr="008661B0">
        <w:rPr>
          <w:lang w:eastAsia="ru-RU"/>
        </w:rPr>
        <w:t>рядку 4 таблиці 4</w:t>
      </w:r>
      <w:r w:rsidR="002757F3" w:rsidRPr="008661B0">
        <w:rPr>
          <w:lang w:eastAsia="ru-RU"/>
        </w:rPr>
        <w:t xml:space="preserve"> розділу </w:t>
      </w:r>
      <w:r w:rsidR="002757F3" w:rsidRPr="008661B0">
        <w:rPr>
          <w:lang w:val="en-US" w:eastAsia="ru-RU"/>
        </w:rPr>
        <w:t>IV</w:t>
      </w:r>
      <w:r w:rsidR="002757F3" w:rsidRPr="008661B0">
        <w:rPr>
          <w:lang w:eastAsia="ru-RU"/>
        </w:rPr>
        <w:t xml:space="preserve"> цих Тарифів</w:t>
      </w:r>
      <w:r w:rsidR="008971BF" w:rsidRPr="008661B0">
        <w:rPr>
          <w:lang w:eastAsia="ru-RU"/>
        </w:rPr>
        <w:t>, не застосовується до послуг (операцій) з обслуговування розрахунків у цінних паперах, номінованих у національній валюті, якщо такі розрахунки проведені в межах депозитарної установи. За такими послугами (операціями) застосовується тариф, зазначений у рядку 10 таблиці 4</w:t>
      </w:r>
      <w:r w:rsidR="0015440A" w:rsidRPr="008661B0">
        <w:rPr>
          <w:lang w:eastAsia="ru-RU"/>
        </w:rPr>
        <w:t xml:space="preserve"> розділу </w:t>
      </w:r>
      <w:r w:rsidR="0015440A" w:rsidRPr="008661B0">
        <w:rPr>
          <w:lang w:val="en-US" w:eastAsia="ru-RU"/>
        </w:rPr>
        <w:t>IV</w:t>
      </w:r>
      <w:r w:rsidR="0015440A" w:rsidRPr="008661B0">
        <w:rPr>
          <w:lang w:eastAsia="ru-RU"/>
        </w:rPr>
        <w:t xml:space="preserve"> цих Тарифів</w:t>
      </w:r>
      <w:r w:rsidR="008971BF" w:rsidRPr="008661B0">
        <w:rPr>
          <w:lang w:eastAsia="ru-RU"/>
        </w:rPr>
        <w:t>.</w:t>
      </w:r>
    </w:p>
    <w:p w14:paraId="111A89FA" w14:textId="77777777" w:rsidR="00544CE2" w:rsidRPr="008661B0" w:rsidRDefault="00544CE2" w:rsidP="00544CE2">
      <w:pPr>
        <w:shd w:val="clear" w:color="auto" w:fill="FFFFFF"/>
        <w:ind w:firstLine="567"/>
        <w:rPr>
          <w:lang w:eastAsia="ru-RU"/>
        </w:rPr>
      </w:pPr>
    </w:p>
    <w:p w14:paraId="422BEF99" w14:textId="403D63DC" w:rsidR="008971BF" w:rsidRPr="008661B0" w:rsidRDefault="0004622C" w:rsidP="00544CE2">
      <w:pPr>
        <w:shd w:val="clear" w:color="auto" w:fill="FFFFFF"/>
        <w:ind w:firstLine="567"/>
        <w:rPr>
          <w:lang w:eastAsia="ru-RU"/>
        </w:rPr>
      </w:pPr>
      <w:bookmarkStart w:id="8" w:name="n68"/>
      <w:bookmarkEnd w:id="8"/>
      <w:r w:rsidRPr="008661B0">
        <w:rPr>
          <w:lang w:eastAsia="ru-RU"/>
        </w:rPr>
        <w:t>5</w:t>
      </w:r>
      <w:r w:rsidR="008971BF" w:rsidRPr="008661B0">
        <w:rPr>
          <w:lang w:eastAsia="ru-RU"/>
        </w:rPr>
        <w:t>. До додаткових витрат, зазначених у колонці 5 рядка 13 таблиці 4</w:t>
      </w:r>
      <w:r w:rsidR="001C3454" w:rsidRPr="008661B0">
        <w:rPr>
          <w:lang w:eastAsia="ru-RU"/>
        </w:rPr>
        <w:t xml:space="preserve"> розділу </w:t>
      </w:r>
      <w:r w:rsidR="001C3454" w:rsidRPr="008661B0">
        <w:rPr>
          <w:lang w:val="en-US" w:eastAsia="ru-RU"/>
        </w:rPr>
        <w:t>IV</w:t>
      </w:r>
      <w:r w:rsidR="001C3454" w:rsidRPr="008661B0">
        <w:rPr>
          <w:lang w:eastAsia="ru-RU"/>
        </w:rPr>
        <w:t xml:space="preserve"> цих Тарифів</w:t>
      </w:r>
      <w:r w:rsidR="008971BF" w:rsidRPr="008661B0">
        <w:rPr>
          <w:lang w:eastAsia="ru-RU"/>
        </w:rPr>
        <w:t xml:space="preserve">, </w:t>
      </w:r>
      <w:r w:rsidR="009A0F67">
        <w:rPr>
          <w:lang w:eastAsia="ru-RU"/>
        </w:rPr>
        <w:t>належать</w:t>
      </w:r>
      <w:r w:rsidR="009A0F67" w:rsidRPr="008661B0">
        <w:rPr>
          <w:lang w:eastAsia="ru-RU"/>
        </w:rPr>
        <w:t xml:space="preserve"> </w:t>
      </w:r>
      <w:r w:rsidR="008971BF" w:rsidRPr="008661B0">
        <w:rPr>
          <w:lang w:eastAsia="ru-RU"/>
        </w:rPr>
        <w:t>витрати іноземного депозитарію, якщо немає прямих кореспондентських відносин між іноземним депозитарієм та банком-кореспондентом Національного банку.</w:t>
      </w:r>
    </w:p>
    <w:p w14:paraId="2A9387C4" w14:textId="77777777" w:rsidR="0050596D" w:rsidRDefault="0050596D" w:rsidP="00544CE2">
      <w:pPr>
        <w:shd w:val="clear" w:color="auto" w:fill="FFFFFF"/>
        <w:ind w:firstLine="567"/>
        <w:rPr>
          <w:color w:val="333333"/>
          <w:lang w:eastAsia="ru-RU"/>
        </w:rPr>
        <w:sectPr w:rsidR="0050596D" w:rsidSect="000631E3">
          <w:headerReference w:type="default" r:id="rId23"/>
          <w:type w:val="continuous"/>
          <w:pgSz w:w="11906" w:h="16838" w:code="9"/>
          <w:pgMar w:top="567" w:right="567" w:bottom="1701" w:left="1701" w:header="567" w:footer="709" w:gutter="0"/>
          <w:cols w:space="708"/>
          <w:titlePg/>
          <w:docGrid w:linePitch="381"/>
        </w:sectPr>
      </w:pPr>
    </w:p>
    <w:p w14:paraId="78CC331B" w14:textId="77777777" w:rsidR="008971BF" w:rsidRDefault="008971BF" w:rsidP="00544CE2">
      <w:pPr>
        <w:shd w:val="clear" w:color="auto" w:fill="FFFFFF"/>
        <w:ind w:firstLine="567"/>
        <w:rPr>
          <w:color w:val="333333"/>
          <w:lang w:eastAsia="ru-RU"/>
        </w:rPr>
      </w:pPr>
    </w:p>
    <w:p w14:paraId="4CD188E5" w14:textId="77777777" w:rsidR="008971BF" w:rsidRPr="008661B0" w:rsidRDefault="008971BF" w:rsidP="0050596D">
      <w:pPr>
        <w:keepNext/>
        <w:shd w:val="clear" w:color="auto" w:fill="FFFFFF"/>
        <w:jc w:val="center"/>
        <w:rPr>
          <w:lang w:eastAsia="ru-RU"/>
        </w:rPr>
      </w:pPr>
      <w:r w:rsidRPr="008661B0">
        <w:rPr>
          <w:lang w:eastAsia="ru-RU"/>
        </w:rPr>
        <w:t>V. Тарифи на послуги (операції) з обслуговування операцій із депозитними сертифікатами Національного банку</w:t>
      </w:r>
    </w:p>
    <w:p w14:paraId="1D7D9D39" w14:textId="77777777" w:rsidR="0050596D" w:rsidRPr="008661B0" w:rsidRDefault="0050596D" w:rsidP="0050596D">
      <w:pPr>
        <w:keepNext/>
        <w:shd w:val="clear" w:color="auto" w:fill="FFFFFF"/>
        <w:jc w:val="center"/>
        <w:rPr>
          <w:lang w:eastAsia="ru-RU"/>
        </w:rPr>
      </w:pPr>
    </w:p>
    <w:p w14:paraId="770559FD" w14:textId="77777777" w:rsidR="008971BF" w:rsidRPr="008661B0" w:rsidRDefault="008971BF" w:rsidP="0050596D">
      <w:pPr>
        <w:keepNext/>
        <w:shd w:val="clear" w:color="auto" w:fill="FFFFFF"/>
        <w:ind w:firstLine="450"/>
        <w:jc w:val="right"/>
        <w:rPr>
          <w:lang w:eastAsia="ru-RU"/>
        </w:rPr>
      </w:pPr>
      <w:r w:rsidRPr="008661B0">
        <w:rPr>
          <w:lang w:eastAsia="ru-RU"/>
        </w:rPr>
        <w:t>Таблиця 5</w:t>
      </w:r>
    </w:p>
    <w:tbl>
      <w:tblPr>
        <w:tblStyle w:val="a9"/>
        <w:tblW w:w="0" w:type="auto"/>
        <w:tblBorders>
          <w:bottom w:val="none" w:sz="0" w:space="0" w:color="auto"/>
        </w:tblBorders>
        <w:tblLook w:val="04A0" w:firstRow="1" w:lastRow="0" w:firstColumn="1" w:lastColumn="0" w:noHBand="0" w:noVBand="1"/>
      </w:tblPr>
      <w:tblGrid>
        <w:gridCol w:w="658"/>
        <w:gridCol w:w="1535"/>
        <w:gridCol w:w="4067"/>
        <w:gridCol w:w="2009"/>
        <w:gridCol w:w="1359"/>
      </w:tblGrid>
      <w:tr w:rsidR="00C25098" w:rsidRPr="00C25098" w14:paraId="389169F9" w14:textId="77777777" w:rsidTr="0016054F">
        <w:tc>
          <w:tcPr>
            <w:tcW w:w="658" w:type="dxa"/>
          </w:tcPr>
          <w:p w14:paraId="235A274A" w14:textId="77777777" w:rsidR="008971BF" w:rsidRPr="008661B0" w:rsidRDefault="008971BF" w:rsidP="00D8609F">
            <w:pPr>
              <w:shd w:val="clear" w:color="auto" w:fill="FFFFFF"/>
              <w:spacing w:after="150"/>
              <w:jc w:val="center"/>
              <w:rPr>
                <w:lang w:eastAsia="ru-RU"/>
              </w:rPr>
            </w:pPr>
            <w:r w:rsidRPr="008661B0">
              <w:rPr>
                <w:lang w:eastAsia="ru-RU"/>
              </w:rPr>
              <w:t>№ з/п</w:t>
            </w:r>
          </w:p>
        </w:tc>
        <w:tc>
          <w:tcPr>
            <w:tcW w:w="1535" w:type="dxa"/>
          </w:tcPr>
          <w:p w14:paraId="54A1F668" w14:textId="77777777" w:rsidR="008971BF" w:rsidRPr="008661B0" w:rsidRDefault="008971BF" w:rsidP="00D8609F">
            <w:pPr>
              <w:shd w:val="clear" w:color="auto" w:fill="FFFFFF"/>
              <w:spacing w:after="150"/>
              <w:jc w:val="center"/>
              <w:rPr>
                <w:lang w:eastAsia="ru-RU"/>
              </w:rPr>
            </w:pPr>
            <w:r w:rsidRPr="008661B0">
              <w:rPr>
                <w:lang w:eastAsia="ru-RU"/>
              </w:rPr>
              <w:t>№ послуги (операції)</w:t>
            </w:r>
          </w:p>
        </w:tc>
        <w:tc>
          <w:tcPr>
            <w:tcW w:w="4067" w:type="dxa"/>
          </w:tcPr>
          <w:p w14:paraId="6476DA48" w14:textId="77777777" w:rsidR="008971BF" w:rsidRPr="008661B0" w:rsidRDefault="008971BF" w:rsidP="00D8609F">
            <w:pPr>
              <w:shd w:val="clear" w:color="auto" w:fill="FFFFFF"/>
              <w:spacing w:after="150"/>
              <w:jc w:val="center"/>
              <w:rPr>
                <w:lang w:eastAsia="ru-RU"/>
              </w:rPr>
            </w:pPr>
            <w:r w:rsidRPr="008661B0">
              <w:rPr>
                <w:lang w:eastAsia="ru-RU"/>
              </w:rPr>
              <w:t>Найменування послуг (операцій)</w:t>
            </w:r>
          </w:p>
        </w:tc>
        <w:tc>
          <w:tcPr>
            <w:tcW w:w="2009" w:type="dxa"/>
          </w:tcPr>
          <w:p w14:paraId="3EA0E894" w14:textId="77777777" w:rsidR="008971BF" w:rsidRPr="008661B0" w:rsidRDefault="008971BF" w:rsidP="00D8609F">
            <w:pPr>
              <w:shd w:val="clear" w:color="auto" w:fill="FFFFFF"/>
              <w:spacing w:after="150"/>
              <w:ind w:hanging="89"/>
              <w:jc w:val="center"/>
              <w:rPr>
                <w:lang w:eastAsia="ru-RU"/>
              </w:rPr>
            </w:pPr>
            <w:r w:rsidRPr="008661B0">
              <w:rPr>
                <w:lang w:eastAsia="ru-RU"/>
              </w:rPr>
              <w:t>Одиниця виміру</w:t>
            </w:r>
          </w:p>
        </w:tc>
        <w:tc>
          <w:tcPr>
            <w:tcW w:w="1359" w:type="dxa"/>
          </w:tcPr>
          <w:p w14:paraId="3E07493C" w14:textId="77777777" w:rsidR="008971BF" w:rsidRPr="008661B0" w:rsidRDefault="008971BF" w:rsidP="00D8609F">
            <w:pPr>
              <w:shd w:val="clear" w:color="auto" w:fill="FFFFFF"/>
              <w:spacing w:after="150"/>
              <w:jc w:val="center"/>
              <w:rPr>
                <w:lang w:eastAsia="ru-RU"/>
              </w:rPr>
            </w:pPr>
            <w:r w:rsidRPr="008661B0">
              <w:rPr>
                <w:lang w:eastAsia="ru-RU"/>
              </w:rPr>
              <w:t>Тарифи</w:t>
            </w:r>
          </w:p>
        </w:tc>
      </w:tr>
      <w:tr w:rsidR="00C25098" w:rsidRPr="00C25098" w14:paraId="66661FA8" w14:textId="77777777" w:rsidTr="0016054F">
        <w:tblPrEx>
          <w:tblBorders>
            <w:bottom w:val="single" w:sz="4" w:space="0" w:color="auto"/>
          </w:tblBorders>
        </w:tblPrEx>
        <w:trPr>
          <w:trHeight w:val="253"/>
        </w:trPr>
        <w:tc>
          <w:tcPr>
            <w:tcW w:w="658" w:type="dxa"/>
          </w:tcPr>
          <w:p w14:paraId="3D9B53DE" w14:textId="77777777" w:rsidR="008971BF" w:rsidRPr="00C25098" w:rsidRDefault="008971BF" w:rsidP="0016054F">
            <w:pPr>
              <w:jc w:val="center"/>
              <w:rPr>
                <w:lang w:val="en-US"/>
              </w:rPr>
            </w:pPr>
            <w:r w:rsidRPr="00C25098">
              <w:rPr>
                <w:lang w:val="en-US"/>
              </w:rPr>
              <w:t>1</w:t>
            </w:r>
          </w:p>
        </w:tc>
        <w:tc>
          <w:tcPr>
            <w:tcW w:w="1535" w:type="dxa"/>
          </w:tcPr>
          <w:p w14:paraId="0AED4065" w14:textId="77777777" w:rsidR="008971BF" w:rsidRPr="00C25098" w:rsidRDefault="008971BF" w:rsidP="0016054F">
            <w:pPr>
              <w:jc w:val="center"/>
              <w:rPr>
                <w:lang w:val="en-US"/>
              </w:rPr>
            </w:pPr>
            <w:r w:rsidRPr="00C25098">
              <w:rPr>
                <w:lang w:val="en-US"/>
              </w:rPr>
              <w:t>2</w:t>
            </w:r>
          </w:p>
        </w:tc>
        <w:tc>
          <w:tcPr>
            <w:tcW w:w="4067" w:type="dxa"/>
          </w:tcPr>
          <w:p w14:paraId="4ACC26E0" w14:textId="77777777" w:rsidR="008971BF" w:rsidRPr="00C25098" w:rsidRDefault="008971BF" w:rsidP="0016054F">
            <w:pPr>
              <w:jc w:val="center"/>
              <w:rPr>
                <w:lang w:val="en-US"/>
              </w:rPr>
            </w:pPr>
            <w:r w:rsidRPr="00C25098">
              <w:rPr>
                <w:lang w:val="en-US"/>
              </w:rPr>
              <w:t>3</w:t>
            </w:r>
          </w:p>
        </w:tc>
        <w:tc>
          <w:tcPr>
            <w:tcW w:w="2009" w:type="dxa"/>
          </w:tcPr>
          <w:p w14:paraId="14FC4475" w14:textId="77777777" w:rsidR="008971BF" w:rsidRPr="00C25098" w:rsidRDefault="008971BF" w:rsidP="0016054F">
            <w:pPr>
              <w:jc w:val="center"/>
              <w:rPr>
                <w:lang w:val="en-US"/>
              </w:rPr>
            </w:pPr>
            <w:r w:rsidRPr="00C25098">
              <w:rPr>
                <w:lang w:val="en-US"/>
              </w:rPr>
              <w:t>4</w:t>
            </w:r>
          </w:p>
        </w:tc>
        <w:tc>
          <w:tcPr>
            <w:tcW w:w="1359" w:type="dxa"/>
          </w:tcPr>
          <w:p w14:paraId="2CDAF141" w14:textId="77777777" w:rsidR="008971BF" w:rsidRPr="00C25098" w:rsidRDefault="008971BF" w:rsidP="0016054F">
            <w:pPr>
              <w:ind w:hanging="24"/>
              <w:jc w:val="center"/>
              <w:rPr>
                <w:lang w:val="en-US"/>
              </w:rPr>
            </w:pPr>
            <w:r w:rsidRPr="00C25098">
              <w:rPr>
                <w:lang w:val="en-US"/>
              </w:rPr>
              <w:t>5</w:t>
            </w:r>
          </w:p>
        </w:tc>
      </w:tr>
      <w:tr w:rsidR="00C25098" w:rsidRPr="00C25098" w14:paraId="47CB1DE4" w14:textId="77777777" w:rsidTr="0016054F">
        <w:tblPrEx>
          <w:tblBorders>
            <w:bottom w:val="single" w:sz="4" w:space="0" w:color="auto"/>
          </w:tblBorders>
        </w:tblPrEx>
        <w:tc>
          <w:tcPr>
            <w:tcW w:w="658" w:type="dxa"/>
          </w:tcPr>
          <w:p w14:paraId="76D95016" w14:textId="77777777" w:rsidR="008971BF" w:rsidRPr="008661B0" w:rsidRDefault="008971BF" w:rsidP="00D8609F">
            <w:pPr>
              <w:shd w:val="clear" w:color="auto" w:fill="FFFFFF"/>
              <w:spacing w:after="150"/>
              <w:jc w:val="center"/>
              <w:rPr>
                <w:lang w:val="en-US" w:eastAsia="ru-RU"/>
              </w:rPr>
            </w:pPr>
            <w:r w:rsidRPr="008661B0">
              <w:rPr>
                <w:lang w:val="en-US" w:eastAsia="ru-RU"/>
              </w:rPr>
              <w:t>1</w:t>
            </w:r>
          </w:p>
        </w:tc>
        <w:tc>
          <w:tcPr>
            <w:tcW w:w="1535" w:type="dxa"/>
          </w:tcPr>
          <w:p w14:paraId="09E256F4" w14:textId="77777777" w:rsidR="008971BF" w:rsidRPr="008661B0" w:rsidRDefault="008971BF" w:rsidP="00D8609F">
            <w:pPr>
              <w:shd w:val="clear" w:color="auto" w:fill="FFFFFF"/>
              <w:spacing w:after="150"/>
              <w:jc w:val="center"/>
              <w:rPr>
                <w:lang w:val="en-US" w:eastAsia="ru-RU"/>
              </w:rPr>
            </w:pPr>
            <w:r w:rsidRPr="008661B0">
              <w:rPr>
                <w:lang w:val="en-US" w:eastAsia="ru-RU"/>
              </w:rPr>
              <w:t>1</w:t>
            </w:r>
          </w:p>
        </w:tc>
        <w:tc>
          <w:tcPr>
            <w:tcW w:w="4067" w:type="dxa"/>
          </w:tcPr>
          <w:p w14:paraId="4B2E84F7" w14:textId="77777777" w:rsidR="008971BF" w:rsidRPr="008661B0" w:rsidRDefault="008971BF" w:rsidP="00D8609F">
            <w:pPr>
              <w:shd w:val="clear" w:color="auto" w:fill="FFFFFF"/>
              <w:spacing w:after="150"/>
              <w:jc w:val="left"/>
              <w:rPr>
                <w:lang w:val="ru-RU" w:eastAsia="ru-RU"/>
              </w:rPr>
            </w:pPr>
            <w:r w:rsidRPr="008661B0">
              <w:rPr>
                <w:lang w:eastAsia="ru-RU"/>
              </w:rPr>
              <w:t>Проведення розрахунків за коштами, залученими за депозитними сертифікатами (облік депозитних сертифікатів)</w:t>
            </w:r>
          </w:p>
        </w:tc>
        <w:tc>
          <w:tcPr>
            <w:tcW w:w="2009" w:type="dxa"/>
          </w:tcPr>
          <w:p w14:paraId="52AFC5A8" w14:textId="77777777" w:rsidR="008971BF" w:rsidRPr="008661B0" w:rsidRDefault="008971BF" w:rsidP="00D8609F">
            <w:pPr>
              <w:shd w:val="clear" w:color="auto" w:fill="FFFFFF"/>
              <w:spacing w:after="150"/>
              <w:jc w:val="center"/>
              <w:rPr>
                <w:lang w:val="ru-RU" w:eastAsia="ru-RU"/>
              </w:rPr>
            </w:pPr>
            <w:r w:rsidRPr="008661B0">
              <w:rPr>
                <w:lang w:eastAsia="ru-RU"/>
              </w:rPr>
              <w:t>% від середньої номінальної вартості депозитних сертифікатів за розрахунковий період</w:t>
            </w:r>
          </w:p>
        </w:tc>
        <w:tc>
          <w:tcPr>
            <w:tcW w:w="1359" w:type="dxa"/>
          </w:tcPr>
          <w:p w14:paraId="3C3E9446" w14:textId="77777777" w:rsidR="008971BF" w:rsidRPr="008661B0" w:rsidRDefault="008971BF" w:rsidP="00D8609F">
            <w:pPr>
              <w:shd w:val="clear" w:color="auto" w:fill="FFFFFF"/>
              <w:spacing w:after="150"/>
              <w:jc w:val="center"/>
              <w:rPr>
                <w:lang w:val="ru-RU" w:eastAsia="ru-RU"/>
              </w:rPr>
            </w:pPr>
            <w:r w:rsidRPr="008661B0">
              <w:rPr>
                <w:lang w:eastAsia="ru-RU"/>
              </w:rPr>
              <w:t>0,0006%</w:t>
            </w:r>
          </w:p>
        </w:tc>
      </w:tr>
      <w:tr w:rsidR="008971BF" w:rsidRPr="00C25098" w14:paraId="1DC67148" w14:textId="77777777" w:rsidTr="0016054F">
        <w:tblPrEx>
          <w:tblBorders>
            <w:bottom w:val="single" w:sz="4" w:space="0" w:color="auto"/>
          </w:tblBorders>
        </w:tblPrEx>
        <w:tc>
          <w:tcPr>
            <w:tcW w:w="658" w:type="dxa"/>
          </w:tcPr>
          <w:p w14:paraId="56469336" w14:textId="77777777" w:rsidR="008971BF" w:rsidRPr="008661B0" w:rsidRDefault="008971BF" w:rsidP="00D8609F">
            <w:pPr>
              <w:shd w:val="clear" w:color="auto" w:fill="FFFFFF"/>
              <w:spacing w:after="150"/>
              <w:jc w:val="center"/>
              <w:rPr>
                <w:lang w:val="en-US" w:eastAsia="ru-RU"/>
              </w:rPr>
            </w:pPr>
            <w:r w:rsidRPr="008661B0">
              <w:rPr>
                <w:lang w:val="en-US" w:eastAsia="ru-RU"/>
              </w:rPr>
              <w:t>2</w:t>
            </w:r>
          </w:p>
        </w:tc>
        <w:tc>
          <w:tcPr>
            <w:tcW w:w="1535" w:type="dxa"/>
          </w:tcPr>
          <w:p w14:paraId="6C8A6138" w14:textId="77777777" w:rsidR="008971BF" w:rsidRPr="008661B0" w:rsidRDefault="008971BF" w:rsidP="00D8609F">
            <w:pPr>
              <w:shd w:val="clear" w:color="auto" w:fill="FFFFFF"/>
              <w:spacing w:after="150"/>
              <w:jc w:val="center"/>
              <w:rPr>
                <w:lang w:val="en-US" w:eastAsia="ru-RU"/>
              </w:rPr>
            </w:pPr>
            <w:r w:rsidRPr="008661B0">
              <w:rPr>
                <w:lang w:val="en-US" w:eastAsia="ru-RU"/>
              </w:rPr>
              <w:t>2</w:t>
            </w:r>
          </w:p>
        </w:tc>
        <w:tc>
          <w:tcPr>
            <w:tcW w:w="4067" w:type="dxa"/>
          </w:tcPr>
          <w:p w14:paraId="13C0A30C" w14:textId="77777777" w:rsidR="008971BF" w:rsidRPr="008661B0" w:rsidRDefault="008971BF" w:rsidP="00D8609F">
            <w:pPr>
              <w:shd w:val="clear" w:color="auto" w:fill="FFFFFF"/>
              <w:spacing w:after="150"/>
              <w:jc w:val="left"/>
              <w:rPr>
                <w:lang w:val="en-US" w:eastAsia="ru-RU"/>
              </w:rPr>
            </w:pPr>
            <w:r w:rsidRPr="008661B0">
              <w:rPr>
                <w:lang w:eastAsia="ru-RU"/>
              </w:rPr>
              <w:t>Оформлення документів під час обслуговування рахунків з обліку коштів за депозитними сертифікатами [перереєстрація права власності на депозитні сертифікати або блокування депозитних сертифікатів для виконання</w:t>
            </w:r>
            <w:r w:rsidRPr="008661B0">
              <w:rPr>
                <w:lang w:val="en-US" w:eastAsia="ru-RU"/>
              </w:rPr>
              <w:t xml:space="preserve"> </w:t>
            </w:r>
            <w:r w:rsidRPr="008661B0">
              <w:rPr>
                <w:lang w:eastAsia="ru-RU"/>
              </w:rPr>
              <w:t>угод (крім операцій з Національним банком)]</w:t>
            </w:r>
          </w:p>
        </w:tc>
        <w:tc>
          <w:tcPr>
            <w:tcW w:w="2009" w:type="dxa"/>
          </w:tcPr>
          <w:p w14:paraId="603BC705" w14:textId="77777777" w:rsidR="008971BF" w:rsidRPr="008661B0" w:rsidRDefault="008971BF" w:rsidP="00D8609F">
            <w:pPr>
              <w:shd w:val="clear" w:color="auto" w:fill="FFFFFF"/>
              <w:spacing w:after="150"/>
              <w:jc w:val="center"/>
              <w:rPr>
                <w:lang w:val="en-US" w:eastAsia="ru-RU"/>
              </w:rPr>
            </w:pPr>
            <w:r w:rsidRPr="008661B0">
              <w:rPr>
                <w:lang w:eastAsia="ru-RU"/>
              </w:rPr>
              <w:t>1 операція</w:t>
            </w:r>
          </w:p>
        </w:tc>
        <w:tc>
          <w:tcPr>
            <w:tcW w:w="1359" w:type="dxa"/>
          </w:tcPr>
          <w:p w14:paraId="704EE57A" w14:textId="77777777" w:rsidR="008971BF" w:rsidRPr="008661B0" w:rsidRDefault="008971BF" w:rsidP="00D8609F">
            <w:pPr>
              <w:shd w:val="clear" w:color="auto" w:fill="FFFFFF"/>
              <w:spacing w:after="150"/>
              <w:jc w:val="center"/>
              <w:rPr>
                <w:lang w:val="en-US" w:eastAsia="ru-RU"/>
              </w:rPr>
            </w:pPr>
            <w:r w:rsidRPr="008661B0">
              <w:rPr>
                <w:lang w:eastAsia="ru-RU"/>
              </w:rPr>
              <w:t>1 500 грн</w:t>
            </w:r>
          </w:p>
        </w:tc>
      </w:tr>
    </w:tbl>
    <w:p w14:paraId="60F4A9A7" w14:textId="77777777" w:rsidR="008971BF" w:rsidRPr="008661B0" w:rsidRDefault="008971BF" w:rsidP="00427D70">
      <w:pPr>
        <w:shd w:val="clear" w:color="auto" w:fill="FFFFFF"/>
        <w:ind w:firstLine="567"/>
        <w:rPr>
          <w:lang w:eastAsia="ru-RU"/>
        </w:rPr>
      </w:pPr>
    </w:p>
    <w:p w14:paraId="251D44FC" w14:textId="77777777" w:rsidR="00D8609F" w:rsidRPr="008661B0" w:rsidRDefault="00D8609F" w:rsidP="00427D70">
      <w:pPr>
        <w:shd w:val="clear" w:color="auto" w:fill="FFFFFF"/>
        <w:jc w:val="center"/>
        <w:rPr>
          <w:lang w:eastAsia="ru-RU"/>
        </w:rPr>
      </w:pPr>
      <w:r w:rsidRPr="008661B0">
        <w:rPr>
          <w:lang w:eastAsia="ru-RU"/>
        </w:rPr>
        <w:t>VI. Особливості застосування окремих тарифів</w:t>
      </w:r>
    </w:p>
    <w:p w14:paraId="6EEC3ECD" w14:textId="77777777" w:rsidR="00427D70" w:rsidRPr="008661B0" w:rsidRDefault="00427D70" w:rsidP="00427D70">
      <w:pPr>
        <w:shd w:val="clear" w:color="auto" w:fill="FFFFFF"/>
        <w:jc w:val="center"/>
        <w:rPr>
          <w:lang w:eastAsia="ru-RU"/>
        </w:rPr>
      </w:pPr>
    </w:p>
    <w:p w14:paraId="783234B5" w14:textId="0E2CD846" w:rsidR="00D8609F" w:rsidRPr="008661B0" w:rsidRDefault="00122B75" w:rsidP="00427D70">
      <w:pPr>
        <w:shd w:val="clear" w:color="auto" w:fill="FFFFFF"/>
        <w:ind w:firstLine="567"/>
        <w:rPr>
          <w:lang w:eastAsia="ru-RU"/>
        </w:rPr>
      </w:pPr>
      <w:r>
        <w:rPr>
          <w:lang w:eastAsia="ru-RU"/>
        </w:rPr>
        <w:t>6</w:t>
      </w:r>
      <w:r w:rsidR="00D8609F" w:rsidRPr="008661B0">
        <w:rPr>
          <w:lang w:eastAsia="ru-RU"/>
        </w:rPr>
        <w:t xml:space="preserve">. Початком розрахункового періоду за послугами (операціями), </w:t>
      </w:r>
      <w:r w:rsidR="004F01D5">
        <w:rPr>
          <w:lang w:eastAsia="ru-RU"/>
        </w:rPr>
        <w:t>в</w:t>
      </w:r>
      <w:r w:rsidR="00D8609F" w:rsidRPr="008661B0">
        <w:rPr>
          <w:lang w:eastAsia="ru-RU"/>
        </w:rPr>
        <w:t xml:space="preserve">ключаючи зазначені в рядках 2, 9 та 12 таблиці 1 розділу I, рядках 1, 2 таблиці 2 розділу II, рядках 1, 2 таблиці 3 розділу III, рядках 2, 9 та 12 таблиці 4 розділу IV, рядку 1 таблиці 5 розділу V цих Тарифів, є дата попереднього </w:t>
      </w:r>
      <w:proofErr w:type="spellStart"/>
      <w:r w:rsidR="00D8609F" w:rsidRPr="008661B0">
        <w:rPr>
          <w:lang w:eastAsia="ru-RU"/>
        </w:rPr>
        <w:t>акта</w:t>
      </w:r>
      <w:proofErr w:type="spellEnd"/>
      <w:r w:rsidR="00D8609F" w:rsidRPr="008661B0">
        <w:rPr>
          <w:lang w:eastAsia="ru-RU"/>
        </w:rPr>
        <w:t xml:space="preserve"> наданих послуг або дата набрання чинності договором про надання таких послуг. Кінець розрахункового періоду встановлюється на 23-й календарний день кожного місяця. Якщо 24-й календарний день місяця припадає на вихідний або святковий день, то кінець розрахункового періоду переноситься на день, що передує останньому робочому дню до 24-го календарного дня місяця.</w:t>
      </w:r>
    </w:p>
    <w:p w14:paraId="391CF5DF" w14:textId="77777777" w:rsidR="00427D70" w:rsidRPr="008661B0" w:rsidRDefault="00427D70" w:rsidP="00427D70">
      <w:pPr>
        <w:shd w:val="clear" w:color="auto" w:fill="FFFFFF"/>
        <w:ind w:firstLine="567"/>
        <w:rPr>
          <w:lang w:eastAsia="ru-RU"/>
        </w:rPr>
      </w:pPr>
    </w:p>
    <w:p w14:paraId="27113811" w14:textId="5598D047" w:rsidR="00D8609F" w:rsidRPr="008661B0" w:rsidRDefault="00122B75" w:rsidP="00427D70">
      <w:pPr>
        <w:shd w:val="clear" w:color="auto" w:fill="FFFFFF"/>
        <w:ind w:firstLine="567"/>
        <w:rPr>
          <w:lang w:eastAsia="ru-RU"/>
        </w:rPr>
      </w:pPr>
      <w:r>
        <w:rPr>
          <w:lang w:eastAsia="ru-RU"/>
        </w:rPr>
        <w:t>7</w:t>
      </w:r>
      <w:r w:rsidR="00D8609F" w:rsidRPr="008661B0">
        <w:rPr>
          <w:lang w:eastAsia="ru-RU"/>
        </w:rPr>
        <w:t xml:space="preserve">. </w:t>
      </w:r>
      <w:r w:rsidR="00533722">
        <w:rPr>
          <w:lang w:eastAsia="ru-RU"/>
        </w:rPr>
        <w:t>Розмір о</w:t>
      </w:r>
      <w:r w:rsidR="00D8609F" w:rsidRPr="008661B0">
        <w:rPr>
          <w:lang w:eastAsia="ru-RU"/>
        </w:rPr>
        <w:t>плат</w:t>
      </w:r>
      <w:r w:rsidR="00533722">
        <w:rPr>
          <w:lang w:eastAsia="ru-RU"/>
        </w:rPr>
        <w:t>и</w:t>
      </w:r>
      <w:r w:rsidR="00D8609F" w:rsidRPr="008661B0">
        <w:rPr>
          <w:lang w:eastAsia="ru-RU"/>
        </w:rPr>
        <w:t xml:space="preserve"> за послуги (операції), зазначені в рядках 11</w:t>
      </w:r>
      <w:r w:rsidR="00F5442F">
        <w:rPr>
          <w:lang w:eastAsia="ru-RU"/>
        </w:rPr>
        <w:t>–</w:t>
      </w:r>
      <w:r w:rsidR="00D8609F" w:rsidRPr="008661B0">
        <w:rPr>
          <w:lang w:eastAsia="ru-RU"/>
        </w:rPr>
        <w:t>1</w:t>
      </w:r>
      <w:r w:rsidR="007E6FB2">
        <w:rPr>
          <w:lang w:eastAsia="ru-RU"/>
        </w:rPr>
        <w:t>3</w:t>
      </w:r>
      <w:r w:rsidR="00D8609F" w:rsidRPr="008661B0">
        <w:rPr>
          <w:lang w:eastAsia="ru-RU"/>
        </w:rPr>
        <w:t xml:space="preserve"> таблиці 1 розділу I та в рядках 11</w:t>
      </w:r>
      <w:r w:rsidR="00F5442F">
        <w:rPr>
          <w:lang w:eastAsia="ru-RU"/>
        </w:rPr>
        <w:t>–</w:t>
      </w:r>
      <w:r w:rsidR="007E6FB2">
        <w:rPr>
          <w:lang w:eastAsia="ru-RU"/>
        </w:rPr>
        <w:t>13</w:t>
      </w:r>
      <w:r w:rsidR="00D8609F" w:rsidRPr="008661B0">
        <w:rPr>
          <w:lang w:eastAsia="ru-RU"/>
        </w:rPr>
        <w:t xml:space="preserve"> таблиці 4 розділу IV цих Тарифів, </w:t>
      </w:r>
      <w:r w:rsidR="00A765F1">
        <w:rPr>
          <w:lang w:eastAsia="ru-RU"/>
        </w:rPr>
        <w:t>розраховується</w:t>
      </w:r>
      <w:r w:rsidR="00A765F1" w:rsidRPr="008661B0">
        <w:rPr>
          <w:lang w:eastAsia="ru-RU"/>
        </w:rPr>
        <w:t xml:space="preserve"> </w:t>
      </w:r>
      <w:r w:rsidR="00D8609F" w:rsidRPr="008661B0">
        <w:rPr>
          <w:lang w:eastAsia="ru-RU"/>
        </w:rPr>
        <w:t xml:space="preserve">в гривнях за офіційним курсом гривні до іноземної валюти, установленим Національним банком на дату складання </w:t>
      </w:r>
      <w:proofErr w:type="spellStart"/>
      <w:r w:rsidR="00D8609F" w:rsidRPr="008661B0">
        <w:rPr>
          <w:lang w:eastAsia="ru-RU"/>
        </w:rPr>
        <w:t>акта</w:t>
      </w:r>
      <w:proofErr w:type="spellEnd"/>
      <w:r w:rsidR="00D8609F" w:rsidRPr="008661B0">
        <w:rPr>
          <w:lang w:eastAsia="ru-RU"/>
        </w:rPr>
        <w:t xml:space="preserve"> наданих послуг.</w:t>
      </w:r>
    </w:p>
    <w:p w14:paraId="5AA0A5A9" w14:textId="77777777" w:rsidR="00427D70" w:rsidRPr="008661B0" w:rsidRDefault="00427D70" w:rsidP="00427D70">
      <w:pPr>
        <w:shd w:val="clear" w:color="auto" w:fill="FFFFFF"/>
        <w:ind w:firstLine="567"/>
        <w:rPr>
          <w:lang w:eastAsia="ru-RU"/>
        </w:rPr>
      </w:pPr>
    </w:p>
    <w:p w14:paraId="60003B27" w14:textId="28677343" w:rsidR="00D8609F" w:rsidRPr="008661B0" w:rsidRDefault="00122B75" w:rsidP="00427D70">
      <w:pPr>
        <w:shd w:val="clear" w:color="auto" w:fill="FFFFFF"/>
        <w:ind w:firstLine="567"/>
        <w:rPr>
          <w:lang w:eastAsia="ru-RU"/>
        </w:rPr>
      </w:pPr>
      <w:r>
        <w:rPr>
          <w:lang w:eastAsia="ru-RU"/>
        </w:rPr>
        <w:t>8</w:t>
      </w:r>
      <w:r w:rsidR="00D8609F" w:rsidRPr="008661B0">
        <w:rPr>
          <w:lang w:eastAsia="ru-RU"/>
        </w:rPr>
        <w:t>. Національний банк безплатно надає послуги (</w:t>
      </w:r>
      <w:r w:rsidR="00EA1C47">
        <w:rPr>
          <w:lang w:eastAsia="ru-RU"/>
        </w:rPr>
        <w:t xml:space="preserve">здійснює </w:t>
      </w:r>
      <w:r w:rsidR="00D8609F" w:rsidRPr="008661B0">
        <w:rPr>
          <w:lang w:eastAsia="ru-RU"/>
        </w:rPr>
        <w:t xml:space="preserve">операції), </w:t>
      </w:r>
      <w:r w:rsidR="009D70CE">
        <w:rPr>
          <w:lang w:eastAsia="ru-RU"/>
        </w:rPr>
        <w:t>за</w:t>
      </w:r>
      <w:r w:rsidR="004A4917">
        <w:rPr>
          <w:lang w:eastAsia="ru-RU"/>
        </w:rPr>
        <w:t>значені</w:t>
      </w:r>
      <w:r w:rsidR="00D8609F" w:rsidRPr="008661B0">
        <w:rPr>
          <w:lang w:eastAsia="ru-RU"/>
        </w:rPr>
        <w:t>:</w:t>
      </w:r>
    </w:p>
    <w:p w14:paraId="03EA438E" w14:textId="77777777" w:rsidR="00427D70" w:rsidRPr="008661B0" w:rsidRDefault="00427D70" w:rsidP="00427D70">
      <w:pPr>
        <w:shd w:val="clear" w:color="auto" w:fill="FFFFFF"/>
        <w:ind w:firstLine="567"/>
        <w:rPr>
          <w:lang w:eastAsia="ru-RU"/>
        </w:rPr>
      </w:pPr>
    </w:p>
    <w:p w14:paraId="4D2E3FC7" w14:textId="23BDA57D" w:rsidR="00D8609F" w:rsidRPr="008661B0" w:rsidRDefault="00D8609F" w:rsidP="00427D70">
      <w:pPr>
        <w:shd w:val="clear" w:color="auto" w:fill="FFFFFF"/>
        <w:ind w:firstLine="567"/>
        <w:rPr>
          <w:lang w:eastAsia="ru-RU"/>
        </w:rPr>
      </w:pPr>
      <w:r w:rsidRPr="008661B0">
        <w:rPr>
          <w:lang w:eastAsia="ru-RU"/>
        </w:rPr>
        <w:t xml:space="preserve">1) </w:t>
      </w:r>
      <w:r w:rsidR="004A4917">
        <w:rPr>
          <w:lang w:eastAsia="ru-RU"/>
        </w:rPr>
        <w:t xml:space="preserve">у </w:t>
      </w:r>
      <w:r w:rsidRPr="008661B0">
        <w:rPr>
          <w:lang w:eastAsia="ru-RU"/>
        </w:rPr>
        <w:t>розділ</w:t>
      </w:r>
      <w:r w:rsidR="004A4917">
        <w:rPr>
          <w:lang w:eastAsia="ru-RU"/>
        </w:rPr>
        <w:t>і</w:t>
      </w:r>
      <w:r w:rsidRPr="008661B0">
        <w:rPr>
          <w:lang w:eastAsia="ru-RU"/>
        </w:rPr>
        <w:t xml:space="preserve"> ІІІ цих Тарифів – для Міністерства фінансів України, якщо інше не передбачене договором про обслуговування емісії державних цінних паперів;</w:t>
      </w:r>
    </w:p>
    <w:p w14:paraId="0251A10B" w14:textId="77777777" w:rsidR="00427D70" w:rsidRPr="008661B0" w:rsidRDefault="00427D70" w:rsidP="00427D70">
      <w:pPr>
        <w:shd w:val="clear" w:color="auto" w:fill="FFFFFF"/>
        <w:ind w:firstLine="567"/>
        <w:rPr>
          <w:lang w:eastAsia="ru-RU"/>
        </w:rPr>
      </w:pPr>
    </w:p>
    <w:p w14:paraId="109BDE1E" w14:textId="3D825F36" w:rsidR="00D8609F" w:rsidRPr="008661B0" w:rsidRDefault="00D8609F" w:rsidP="00427D70">
      <w:pPr>
        <w:shd w:val="clear" w:color="auto" w:fill="FFFFFF"/>
        <w:ind w:firstLine="567"/>
        <w:rPr>
          <w:lang w:eastAsia="ru-RU"/>
        </w:rPr>
      </w:pPr>
      <w:r w:rsidRPr="008661B0">
        <w:rPr>
          <w:lang w:eastAsia="ru-RU"/>
        </w:rPr>
        <w:t xml:space="preserve">2) </w:t>
      </w:r>
      <w:r w:rsidR="004A4917">
        <w:rPr>
          <w:lang w:eastAsia="ru-RU"/>
        </w:rPr>
        <w:t xml:space="preserve">у </w:t>
      </w:r>
      <w:r w:rsidRPr="008661B0">
        <w:rPr>
          <w:lang w:eastAsia="ru-RU"/>
        </w:rPr>
        <w:t>розділ</w:t>
      </w:r>
      <w:r w:rsidR="004A4917">
        <w:rPr>
          <w:lang w:eastAsia="ru-RU"/>
        </w:rPr>
        <w:t>і</w:t>
      </w:r>
      <w:r w:rsidRPr="008661B0">
        <w:rPr>
          <w:lang w:eastAsia="ru-RU"/>
        </w:rPr>
        <w:t xml:space="preserve"> IV цих Тарифів для:</w:t>
      </w:r>
    </w:p>
    <w:p w14:paraId="46A4E471" w14:textId="77777777" w:rsidR="00D8609F" w:rsidRPr="008661B0" w:rsidRDefault="00D8609F" w:rsidP="00427D70">
      <w:pPr>
        <w:shd w:val="clear" w:color="auto" w:fill="FFFFFF"/>
        <w:ind w:firstLine="567"/>
        <w:rPr>
          <w:lang w:eastAsia="ru-RU"/>
        </w:rPr>
      </w:pPr>
      <w:r w:rsidRPr="008661B0">
        <w:rPr>
          <w:lang w:eastAsia="ru-RU"/>
        </w:rPr>
        <w:t xml:space="preserve">Державної казначейської служби України; </w:t>
      </w:r>
    </w:p>
    <w:p w14:paraId="3EDC8EBB" w14:textId="77777777" w:rsidR="00D8609F" w:rsidRPr="007C092F" w:rsidRDefault="00D8609F" w:rsidP="00427D70">
      <w:pPr>
        <w:shd w:val="clear" w:color="auto" w:fill="FFFFFF"/>
        <w:ind w:firstLine="567"/>
        <w:rPr>
          <w:lang w:eastAsia="ru-RU"/>
        </w:rPr>
      </w:pPr>
      <w:r w:rsidRPr="007C092F">
        <w:rPr>
          <w:lang w:eastAsia="ru-RU"/>
        </w:rPr>
        <w:t>Міністерства фінансів України, як депонента депозитарної установи Національного банку – на період дії воєнного стану;</w:t>
      </w:r>
    </w:p>
    <w:p w14:paraId="2E5C60F2" w14:textId="50AD2FE5" w:rsidR="00D8609F" w:rsidRPr="008661B0" w:rsidRDefault="00D8609F" w:rsidP="00427D70">
      <w:pPr>
        <w:shd w:val="clear" w:color="auto" w:fill="FFFFFF"/>
        <w:ind w:firstLine="567"/>
        <w:rPr>
          <w:lang w:eastAsia="ru-RU"/>
        </w:rPr>
      </w:pPr>
      <w:r w:rsidRPr="007C092F">
        <w:rPr>
          <w:lang w:eastAsia="ru-RU"/>
        </w:rPr>
        <w:t>Корпоративного недержавного пенсійного фонду Національного</w:t>
      </w:r>
      <w:r w:rsidRPr="008661B0">
        <w:rPr>
          <w:lang w:eastAsia="ru-RU"/>
        </w:rPr>
        <w:t xml:space="preserve"> банку згідно з частиною </w:t>
      </w:r>
      <w:r w:rsidR="007E6FB2">
        <w:rPr>
          <w:lang w:eastAsia="ru-RU"/>
        </w:rPr>
        <w:t xml:space="preserve">дванадцятою </w:t>
      </w:r>
      <w:r w:rsidRPr="008661B0">
        <w:rPr>
          <w:lang w:eastAsia="ru-RU"/>
        </w:rPr>
        <w:t>статті 20 розділу II Закону України “Про недержавне пенсійне забезпечення”</w:t>
      </w:r>
      <w:r w:rsidR="00427D70" w:rsidRPr="008661B0">
        <w:rPr>
          <w:lang w:eastAsia="ru-RU"/>
        </w:rPr>
        <w:t>.</w:t>
      </w:r>
    </w:p>
    <w:p w14:paraId="28FFE28E" w14:textId="77777777" w:rsidR="00427D70" w:rsidRPr="008661B0" w:rsidRDefault="00427D70" w:rsidP="00427D70">
      <w:pPr>
        <w:shd w:val="clear" w:color="auto" w:fill="FFFFFF"/>
        <w:ind w:firstLine="567"/>
        <w:rPr>
          <w:lang w:eastAsia="ru-RU"/>
        </w:rPr>
      </w:pPr>
    </w:p>
    <w:p w14:paraId="7BA335BA" w14:textId="3BBEBDD0" w:rsidR="0008592B" w:rsidRPr="00BB0B81" w:rsidRDefault="00122B75" w:rsidP="00DF1025">
      <w:pPr>
        <w:shd w:val="clear" w:color="auto" w:fill="FFFFFF"/>
        <w:ind w:firstLine="567"/>
        <w:rPr>
          <w:lang w:eastAsia="ru-RU"/>
        </w:rPr>
      </w:pPr>
      <w:r w:rsidRPr="00BB0B81">
        <w:rPr>
          <w:lang w:eastAsia="ru-RU"/>
        </w:rPr>
        <w:t>9</w:t>
      </w:r>
      <w:r w:rsidR="00D8609F" w:rsidRPr="00BB0B81">
        <w:rPr>
          <w:lang w:eastAsia="ru-RU"/>
        </w:rPr>
        <w:t>.</w:t>
      </w:r>
      <w:r w:rsidR="0008592B" w:rsidRPr="00BB0B81">
        <w:rPr>
          <w:lang w:eastAsia="ru-RU"/>
        </w:rPr>
        <w:t xml:space="preserve"> Національний банк не застосовує тариф</w:t>
      </w:r>
      <w:r w:rsidR="00DE2F76">
        <w:rPr>
          <w:lang w:eastAsia="ru-RU"/>
        </w:rPr>
        <w:t>ів</w:t>
      </w:r>
      <w:r w:rsidR="0008592B" w:rsidRPr="00BB0B81">
        <w:rPr>
          <w:lang w:eastAsia="ru-RU"/>
        </w:rPr>
        <w:t>, зазначен</w:t>
      </w:r>
      <w:r w:rsidR="00DE2F76">
        <w:rPr>
          <w:lang w:eastAsia="ru-RU"/>
        </w:rPr>
        <w:t>их</w:t>
      </w:r>
      <w:r w:rsidR="0008592B" w:rsidRPr="00BB0B81">
        <w:rPr>
          <w:lang w:eastAsia="ru-RU"/>
        </w:rPr>
        <w:t xml:space="preserve"> </w:t>
      </w:r>
      <w:r w:rsidR="00DE2F76">
        <w:rPr>
          <w:lang w:eastAsia="ru-RU"/>
        </w:rPr>
        <w:t>у</w:t>
      </w:r>
      <w:r w:rsidR="0008592B" w:rsidRPr="00BB0B81">
        <w:rPr>
          <w:lang w:eastAsia="ru-RU"/>
        </w:rPr>
        <w:t xml:space="preserve"> таблиці 1 розділу I цих </w:t>
      </w:r>
      <w:r w:rsidR="00A72B9D" w:rsidRPr="00BB0B81">
        <w:rPr>
          <w:lang w:eastAsia="ru-RU"/>
        </w:rPr>
        <w:t>Т</w:t>
      </w:r>
      <w:r w:rsidR="0008592B" w:rsidRPr="00BB0B81">
        <w:rPr>
          <w:lang w:eastAsia="ru-RU"/>
        </w:rPr>
        <w:t xml:space="preserve">арифів, </w:t>
      </w:r>
      <w:r w:rsidR="00F5442F">
        <w:rPr>
          <w:lang w:eastAsia="ru-RU"/>
        </w:rPr>
        <w:t xml:space="preserve">до </w:t>
      </w:r>
      <w:r w:rsidR="00DE2F76">
        <w:rPr>
          <w:lang w:eastAsia="ru-RU"/>
        </w:rPr>
        <w:t xml:space="preserve">послуг (операцій) з </w:t>
      </w:r>
      <w:r w:rsidR="00E720C4" w:rsidRPr="00BB0B81">
        <w:rPr>
          <w:lang w:eastAsia="ru-RU"/>
        </w:rPr>
        <w:t>облігаці</w:t>
      </w:r>
      <w:r w:rsidR="00DE2F76">
        <w:rPr>
          <w:lang w:eastAsia="ru-RU"/>
        </w:rPr>
        <w:t>ями</w:t>
      </w:r>
      <w:r w:rsidR="00E720C4" w:rsidRPr="00BB0B81">
        <w:rPr>
          <w:lang w:eastAsia="ru-RU"/>
        </w:rPr>
        <w:t xml:space="preserve"> внутрішньо</w:t>
      </w:r>
      <w:r w:rsidR="00DE2F76">
        <w:rPr>
          <w:lang w:eastAsia="ru-RU"/>
        </w:rPr>
        <w:t>ї</w:t>
      </w:r>
      <w:r w:rsidR="00E720C4" w:rsidRPr="00BB0B81">
        <w:rPr>
          <w:lang w:eastAsia="ru-RU"/>
        </w:rPr>
        <w:t xml:space="preserve"> державної позики (далі – </w:t>
      </w:r>
      <w:r w:rsidR="0008592B" w:rsidRPr="00BB0B81">
        <w:rPr>
          <w:lang w:eastAsia="ru-RU"/>
        </w:rPr>
        <w:t>ОВДП</w:t>
      </w:r>
      <w:r w:rsidR="00E720C4" w:rsidRPr="00BB0B81">
        <w:rPr>
          <w:lang w:eastAsia="ru-RU"/>
        </w:rPr>
        <w:t>)</w:t>
      </w:r>
      <w:r w:rsidR="0008592B" w:rsidRPr="00BB0B81">
        <w:rPr>
          <w:lang w:eastAsia="ru-RU"/>
        </w:rPr>
        <w:t xml:space="preserve">, </w:t>
      </w:r>
      <w:r w:rsidR="00DF1025">
        <w:rPr>
          <w:lang w:eastAsia="ru-RU"/>
        </w:rPr>
        <w:t>в</w:t>
      </w:r>
      <w:r w:rsidR="00DF1025" w:rsidRPr="00BB0B81">
        <w:rPr>
          <w:lang w:eastAsia="ru-RU"/>
        </w:rPr>
        <w:t>ипущени</w:t>
      </w:r>
      <w:r w:rsidR="00DE2F76">
        <w:rPr>
          <w:lang w:eastAsia="ru-RU"/>
        </w:rPr>
        <w:t>ми</w:t>
      </w:r>
      <w:r w:rsidR="00DF1025" w:rsidRPr="00BB0B81">
        <w:rPr>
          <w:lang w:eastAsia="ru-RU"/>
        </w:rPr>
        <w:t xml:space="preserve"> Міністерством фінансів України</w:t>
      </w:r>
      <w:r w:rsidR="006D09DE" w:rsidRPr="006D09DE">
        <w:rPr>
          <w:lang w:eastAsia="ru-RU"/>
        </w:rPr>
        <w:t xml:space="preserve"> </w:t>
      </w:r>
      <w:r w:rsidR="006D09DE">
        <w:rPr>
          <w:lang w:eastAsia="ru-RU"/>
        </w:rPr>
        <w:t>у</w:t>
      </w:r>
      <w:r w:rsidR="006D09DE" w:rsidRPr="00D1566A">
        <w:rPr>
          <w:lang w:eastAsia="ru-RU"/>
        </w:rPr>
        <w:t xml:space="preserve"> </w:t>
      </w:r>
      <w:r w:rsidR="006D09DE">
        <w:rPr>
          <w:lang w:eastAsia="ru-RU"/>
        </w:rPr>
        <w:t xml:space="preserve">період дії </w:t>
      </w:r>
      <w:r w:rsidR="006D09DE" w:rsidRPr="00D1566A">
        <w:rPr>
          <w:lang w:eastAsia="ru-RU"/>
        </w:rPr>
        <w:t>воєнного стану</w:t>
      </w:r>
      <w:r w:rsidR="006D09DE">
        <w:rPr>
          <w:lang w:eastAsia="ru-RU"/>
        </w:rPr>
        <w:t xml:space="preserve"> в України</w:t>
      </w:r>
      <w:r w:rsidR="00DF1025">
        <w:rPr>
          <w:lang w:eastAsia="ru-RU"/>
        </w:rPr>
        <w:t>,</w:t>
      </w:r>
      <w:r w:rsidR="00DF1025" w:rsidRPr="00BB0B81" w:rsidDel="00DF1025">
        <w:rPr>
          <w:lang w:eastAsia="ru-RU"/>
        </w:rPr>
        <w:t xml:space="preserve"> </w:t>
      </w:r>
      <w:r w:rsidR="008901F2">
        <w:rPr>
          <w:lang w:eastAsia="ru-RU"/>
        </w:rPr>
        <w:t>к</w:t>
      </w:r>
      <w:r w:rsidR="008901F2" w:rsidRPr="00D1566A">
        <w:rPr>
          <w:lang w:eastAsia="ru-RU"/>
        </w:rPr>
        <w:t xml:space="preserve">ошти від </w:t>
      </w:r>
      <w:r w:rsidR="00DF1025">
        <w:rPr>
          <w:lang w:eastAsia="ru-RU"/>
        </w:rPr>
        <w:t>я</w:t>
      </w:r>
      <w:r w:rsidR="008901F2" w:rsidRPr="00D1566A">
        <w:rPr>
          <w:lang w:eastAsia="ru-RU"/>
        </w:rPr>
        <w:t>ких</w:t>
      </w:r>
      <w:r w:rsidR="00DF1025">
        <w:rPr>
          <w:lang w:eastAsia="ru-RU"/>
        </w:rPr>
        <w:t xml:space="preserve"> </w:t>
      </w:r>
      <w:r w:rsidR="008901F2" w:rsidRPr="00D1566A">
        <w:rPr>
          <w:lang w:eastAsia="ru-RU"/>
        </w:rPr>
        <w:t>використовуються</w:t>
      </w:r>
      <w:r w:rsidR="00DF1025">
        <w:rPr>
          <w:lang w:eastAsia="ru-RU"/>
        </w:rPr>
        <w:t xml:space="preserve"> </w:t>
      </w:r>
      <w:r w:rsidR="008901F2" w:rsidRPr="00D1566A">
        <w:rPr>
          <w:lang w:eastAsia="ru-RU"/>
        </w:rPr>
        <w:t xml:space="preserve">на забезпечення фінансових потреб </w:t>
      </w:r>
      <w:r w:rsidR="008901F2">
        <w:rPr>
          <w:lang w:eastAsia="ru-RU"/>
        </w:rPr>
        <w:t>України</w:t>
      </w:r>
      <w:r w:rsidR="0008592B" w:rsidRPr="00BB0B81">
        <w:rPr>
          <w:lang w:eastAsia="ru-RU"/>
        </w:rPr>
        <w:t>, до дати повного погашення</w:t>
      </w:r>
      <w:r w:rsidR="00DF1025">
        <w:rPr>
          <w:lang w:eastAsia="ru-RU"/>
        </w:rPr>
        <w:t xml:space="preserve"> таких ОВДП</w:t>
      </w:r>
      <w:r w:rsidR="0008592B" w:rsidRPr="00BB0B81">
        <w:rPr>
          <w:lang w:eastAsia="ru-RU"/>
        </w:rPr>
        <w:t>.</w:t>
      </w:r>
    </w:p>
    <w:p w14:paraId="3F512019" w14:textId="33C02060" w:rsidR="00026669" w:rsidRPr="008661B0" w:rsidRDefault="0008592B" w:rsidP="00427D70">
      <w:pPr>
        <w:shd w:val="clear" w:color="auto" w:fill="FFFFFF"/>
        <w:ind w:firstLine="567"/>
        <w:rPr>
          <w:lang w:val="ru-RU" w:eastAsia="ru-RU"/>
        </w:rPr>
      </w:pPr>
      <w:r w:rsidRPr="00BB0B81">
        <w:rPr>
          <w:lang w:eastAsia="ru-RU"/>
        </w:rPr>
        <w:t xml:space="preserve">Повний перелік </w:t>
      </w:r>
      <w:r w:rsidR="008901F2">
        <w:rPr>
          <w:lang w:val="ru-RU" w:eastAsia="ru-RU"/>
        </w:rPr>
        <w:t>таких</w:t>
      </w:r>
      <w:r w:rsidRPr="00BB0B81">
        <w:rPr>
          <w:lang w:eastAsia="ru-RU"/>
        </w:rPr>
        <w:t xml:space="preserve"> ОВДП оприлюдню</w:t>
      </w:r>
      <w:r w:rsidR="00DE2F76">
        <w:rPr>
          <w:lang w:eastAsia="ru-RU"/>
        </w:rPr>
        <w:t>є</w:t>
      </w:r>
      <w:r w:rsidRPr="00BB0B81">
        <w:rPr>
          <w:lang w:eastAsia="ru-RU"/>
        </w:rPr>
        <w:t xml:space="preserve">ться на сайті </w:t>
      </w:r>
      <w:r w:rsidRPr="00BB0B81">
        <w:rPr>
          <w:lang w:val="ru-RU" w:eastAsia="ru-RU"/>
        </w:rPr>
        <w:t>М</w:t>
      </w:r>
      <w:proofErr w:type="spellStart"/>
      <w:r w:rsidR="002614EF" w:rsidRPr="00BB0B81">
        <w:rPr>
          <w:lang w:eastAsia="ru-RU"/>
        </w:rPr>
        <w:t>іністерства</w:t>
      </w:r>
      <w:proofErr w:type="spellEnd"/>
      <w:r w:rsidRPr="00BB0B81">
        <w:rPr>
          <w:lang w:val="ru-RU" w:eastAsia="ru-RU"/>
        </w:rPr>
        <w:t xml:space="preserve"> </w:t>
      </w:r>
      <w:r w:rsidRPr="00BB0B81">
        <w:rPr>
          <w:lang w:eastAsia="ru-RU"/>
        </w:rPr>
        <w:t>фінансів України за посиланням:</w:t>
      </w:r>
    </w:p>
    <w:p w14:paraId="26493EEB" w14:textId="77777777" w:rsidR="008971BF" w:rsidRPr="00CD0CD4" w:rsidRDefault="0036692E" w:rsidP="00427D70">
      <w:pPr>
        <w:shd w:val="clear" w:color="auto" w:fill="FFFFFF"/>
        <w:spacing w:after="150"/>
      </w:pPr>
      <w:hyperlink r:id="rId24" w:history="1">
        <w:r w:rsidR="00026669" w:rsidRPr="002846F3">
          <w:rPr>
            <w:rStyle w:val="af7"/>
            <w:lang w:eastAsia="ru-RU"/>
          </w:rPr>
          <w:t>https://www.mof.gov.ua/uk/local_bonds_issued_during_the_war_time-572</w:t>
        </w:r>
      </w:hyperlink>
      <w:r w:rsidR="0008592B">
        <w:rPr>
          <w:color w:val="333333"/>
          <w:lang w:val="ru-RU" w:eastAsia="ru-RU"/>
        </w:rPr>
        <w:t>.</w:t>
      </w:r>
    </w:p>
    <w:sectPr w:rsidR="008971BF" w:rsidRPr="00CD0CD4" w:rsidSect="00427D70">
      <w:headerReference w:type="default" r:id="rId25"/>
      <w:type w:val="continuous"/>
      <w:pgSz w:w="11906" w:h="16838" w:code="9"/>
      <w:pgMar w:top="567" w:right="567" w:bottom="1701"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31112" w14:textId="77777777" w:rsidR="005A2E3D" w:rsidRDefault="005A2E3D" w:rsidP="00E53CCD">
      <w:r>
        <w:separator/>
      </w:r>
    </w:p>
  </w:endnote>
  <w:endnote w:type="continuationSeparator" w:id="0">
    <w:p w14:paraId="52CD71CB" w14:textId="77777777" w:rsidR="005A2E3D" w:rsidRDefault="005A2E3D"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9437A" w14:textId="77777777" w:rsidR="005A2E3D" w:rsidRDefault="005A2E3D" w:rsidP="00E53CCD">
      <w:r>
        <w:separator/>
      </w:r>
    </w:p>
  </w:footnote>
  <w:footnote w:type="continuationSeparator" w:id="0">
    <w:p w14:paraId="39927337" w14:textId="77777777" w:rsidR="005A2E3D" w:rsidRDefault="005A2E3D"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213919"/>
      <w:docPartObj>
        <w:docPartGallery w:val="Page Numbers (Top of Page)"/>
        <w:docPartUnique/>
      </w:docPartObj>
    </w:sdtPr>
    <w:sdtEndPr/>
    <w:sdtContent>
      <w:p w14:paraId="1102CCA6" w14:textId="6A0CD077" w:rsidR="00216CFE" w:rsidRDefault="00216CFE" w:rsidP="00CC0CDB">
        <w:pPr>
          <w:pStyle w:val="a5"/>
          <w:jc w:val="center"/>
        </w:pPr>
        <w:r>
          <w:fldChar w:fldCharType="begin"/>
        </w:r>
        <w:r>
          <w:instrText xml:space="preserve"> PAGE   \* MERGEFORMAT </w:instrText>
        </w:r>
        <w:r>
          <w:fldChar w:fldCharType="separate"/>
        </w:r>
        <w:r w:rsidR="000326BC">
          <w:rPr>
            <w:noProof/>
          </w:rPr>
          <w:t>2</w:t>
        </w:r>
        <w:r>
          <w:fldChar w:fldCharType="end"/>
        </w:r>
      </w:p>
      <w:p w14:paraId="3371A824" w14:textId="77777777" w:rsidR="00216CFE" w:rsidRDefault="0036692E" w:rsidP="00216CFE">
        <w:pPr>
          <w:pStyle w:val="a5"/>
        </w:pPr>
      </w:p>
    </w:sdtContent>
  </w:sdt>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797130"/>
      <w:docPartObj>
        <w:docPartGallery w:val="Page Numbers (Top of Page)"/>
        <w:docPartUnique/>
      </w:docPartObj>
    </w:sdtPr>
    <w:sdtEndPr/>
    <w:sdtContent>
      <w:p w14:paraId="1D898D3C" w14:textId="336EDC5F" w:rsidR="0050596D" w:rsidRDefault="0050596D" w:rsidP="00CC0CDB">
        <w:pPr>
          <w:pStyle w:val="a5"/>
          <w:jc w:val="center"/>
        </w:pPr>
        <w:r>
          <w:fldChar w:fldCharType="begin"/>
        </w:r>
        <w:r>
          <w:instrText xml:space="preserve"> PAGE   \* MERGEFORMAT </w:instrText>
        </w:r>
        <w:r>
          <w:fldChar w:fldCharType="separate"/>
        </w:r>
        <w:r w:rsidR="0036692E">
          <w:rPr>
            <w:noProof/>
          </w:rPr>
          <w:t>10</w:t>
        </w:r>
        <w:r>
          <w:fldChar w:fldCharType="end"/>
        </w:r>
      </w:p>
      <w:p w14:paraId="40FBF12B" w14:textId="77777777" w:rsidR="0050596D" w:rsidRDefault="0036692E" w:rsidP="0050596D">
        <w:pPr>
          <w:pStyle w:val="a5"/>
          <w:spacing w:after="120"/>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B4068" w14:textId="705980C2" w:rsidR="009A60B0" w:rsidRPr="000326BC" w:rsidRDefault="009A60B0" w:rsidP="000326BC">
    <w:pPr>
      <w:pStyle w:val="a5"/>
      <w:jc w:val="right"/>
      <w:rPr>
        <w:sz w:val="24"/>
        <w:szCs w:val="24"/>
      </w:rPr>
    </w:pPr>
    <w:r w:rsidRPr="000326BC">
      <w:rPr>
        <w:sz w:val="24"/>
        <w:szCs w:val="24"/>
      </w:rPr>
      <w:t>Офіційно опубліковано 23.05.2023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229222"/>
      <w:docPartObj>
        <w:docPartGallery w:val="Page Numbers (Top of Page)"/>
        <w:docPartUnique/>
      </w:docPartObj>
    </w:sdtPr>
    <w:sdtEndPr/>
    <w:sdtContent>
      <w:p w14:paraId="4708080F" w14:textId="3EA48BBF" w:rsidR="00216CFE" w:rsidRDefault="00216CFE" w:rsidP="00CC0CDB">
        <w:pPr>
          <w:pStyle w:val="a5"/>
          <w:jc w:val="center"/>
        </w:pPr>
        <w:r>
          <w:fldChar w:fldCharType="begin"/>
        </w:r>
        <w:r>
          <w:instrText xml:space="preserve"> PAGE   \* MERGEFORMAT </w:instrText>
        </w:r>
        <w:r>
          <w:fldChar w:fldCharType="separate"/>
        </w:r>
        <w:r w:rsidR="0036692E">
          <w:rPr>
            <w:noProof/>
          </w:rPr>
          <w:t>3</w:t>
        </w:r>
        <w:r>
          <w:fldChar w:fldCharType="end"/>
        </w:r>
      </w:p>
      <w:p w14:paraId="1A29F5D4" w14:textId="77777777" w:rsidR="00216CFE" w:rsidRDefault="00216CFE" w:rsidP="00216CFE">
        <w:pPr>
          <w:pStyle w:val="a5"/>
          <w:spacing w:after="120"/>
          <w:jc w:val="right"/>
        </w:pPr>
        <w:r>
          <w:t>Продовження таблиці 1</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87A75" w14:textId="77777777" w:rsidR="000B0AB7" w:rsidRPr="000B0AB7" w:rsidRDefault="000B0AB7" w:rsidP="000B0AB7">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905173"/>
      <w:docPartObj>
        <w:docPartGallery w:val="Page Numbers (Top of Page)"/>
        <w:docPartUnique/>
      </w:docPartObj>
    </w:sdtPr>
    <w:sdtEndPr/>
    <w:sdtContent>
      <w:p w14:paraId="63E3E8B4" w14:textId="3C287649" w:rsidR="00CB3A19" w:rsidRDefault="00CB3A19" w:rsidP="00CC0CDB">
        <w:pPr>
          <w:pStyle w:val="a5"/>
          <w:jc w:val="center"/>
        </w:pPr>
        <w:r>
          <w:fldChar w:fldCharType="begin"/>
        </w:r>
        <w:r>
          <w:instrText xml:space="preserve"> PAGE   \* MERGEFORMAT </w:instrText>
        </w:r>
        <w:r>
          <w:fldChar w:fldCharType="separate"/>
        </w:r>
        <w:r w:rsidR="00B46BFD">
          <w:rPr>
            <w:noProof/>
          </w:rPr>
          <w:t>4</w:t>
        </w:r>
        <w:r>
          <w:fldChar w:fldCharType="end"/>
        </w:r>
      </w:p>
      <w:p w14:paraId="39632306" w14:textId="77777777" w:rsidR="00CB3A19" w:rsidRDefault="0036692E" w:rsidP="00CB3A19">
        <w:pPr>
          <w:pStyle w:val="a5"/>
          <w:spacing w:after="120"/>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203383"/>
      <w:docPartObj>
        <w:docPartGallery w:val="Page Numbers (Top of Page)"/>
        <w:docPartUnique/>
      </w:docPartObj>
    </w:sdtPr>
    <w:sdtEndPr/>
    <w:sdtContent>
      <w:p w14:paraId="4893E392" w14:textId="589CECBD" w:rsidR="000B0AB7" w:rsidRDefault="000B0AB7">
        <w:pPr>
          <w:pStyle w:val="a5"/>
          <w:jc w:val="center"/>
        </w:pPr>
        <w:r>
          <w:fldChar w:fldCharType="begin"/>
        </w:r>
        <w:r>
          <w:instrText>PAGE   \* MERGEFORMAT</w:instrText>
        </w:r>
        <w:r>
          <w:fldChar w:fldCharType="separate"/>
        </w:r>
        <w:r w:rsidR="0036692E">
          <w:rPr>
            <w:noProof/>
          </w:rPr>
          <w:t>4</w:t>
        </w:r>
        <w:r>
          <w:fldChar w:fldCharType="end"/>
        </w:r>
      </w:p>
    </w:sdtContent>
  </w:sdt>
  <w:p w14:paraId="6A38A085" w14:textId="77777777" w:rsidR="000B0AB7" w:rsidRPr="000B0AB7" w:rsidRDefault="000B0AB7" w:rsidP="000B0AB7">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566485"/>
      <w:docPartObj>
        <w:docPartGallery w:val="Page Numbers (Top of Page)"/>
        <w:docPartUnique/>
      </w:docPartObj>
    </w:sdtPr>
    <w:sdtEndPr/>
    <w:sdtContent>
      <w:p w14:paraId="545F81D3" w14:textId="4C9DF90F" w:rsidR="00CB3A19" w:rsidRDefault="00CB3A19" w:rsidP="00CC0CDB">
        <w:pPr>
          <w:pStyle w:val="a5"/>
          <w:jc w:val="center"/>
        </w:pPr>
        <w:r>
          <w:fldChar w:fldCharType="begin"/>
        </w:r>
        <w:r>
          <w:instrText xml:space="preserve"> PAGE   \* MERGEFORMAT </w:instrText>
        </w:r>
        <w:r>
          <w:fldChar w:fldCharType="separate"/>
        </w:r>
        <w:r w:rsidR="0036692E">
          <w:rPr>
            <w:noProof/>
          </w:rPr>
          <w:t>5</w:t>
        </w:r>
        <w:r>
          <w:fldChar w:fldCharType="end"/>
        </w:r>
      </w:p>
      <w:p w14:paraId="6F0470D6" w14:textId="3A90D3CB" w:rsidR="00CB3A19" w:rsidRDefault="00645E93" w:rsidP="00645E93">
        <w:pPr>
          <w:pStyle w:val="a5"/>
          <w:spacing w:after="120"/>
          <w:jc w:val="right"/>
        </w:pPr>
        <w:r>
          <w:t>Продовження таблиці 2</w:t>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387696"/>
      <w:docPartObj>
        <w:docPartGallery w:val="Page Numbers (Top of Page)"/>
        <w:docPartUnique/>
      </w:docPartObj>
    </w:sdtPr>
    <w:sdtEndPr/>
    <w:sdtContent>
      <w:p w14:paraId="2CC0ACF9" w14:textId="724C7FC4" w:rsidR="00390A5B" w:rsidRDefault="00390A5B" w:rsidP="00CC0CDB">
        <w:pPr>
          <w:pStyle w:val="a5"/>
          <w:jc w:val="center"/>
        </w:pPr>
        <w:r>
          <w:fldChar w:fldCharType="begin"/>
        </w:r>
        <w:r>
          <w:instrText xml:space="preserve"> PAGE   \* MERGEFORMAT </w:instrText>
        </w:r>
        <w:r>
          <w:fldChar w:fldCharType="separate"/>
        </w:r>
        <w:r w:rsidR="0036692E">
          <w:rPr>
            <w:noProof/>
          </w:rPr>
          <w:t>6</w:t>
        </w:r>
        <w:r>
          <w:fldChar w:fldCharType="end"/>
        </w:r>
      </w:p>
      <w:p w14:paraId="76B890F0" w14:textId="77777777" w:rsidR="00390A5B" w:rsidRDefault="00390A5B" w:rsidP="00CB3A19">
        <w:pPr>
          <w:pStyle w:val="a5"/>
          <w:spacing w:after="120"/>
          <w:jc w:val="right"/>
        </w:pPr>
        <w:r>
          <w:t>Продовження таблиці 3</w:t>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546833"/>
      <w:docPartObj>
        <w:docPartGallery w:val="Page Numbers (Top of Page)"/>
        <w:docPartUnique/>
      </w:docPartObj>
    </w:sdtPr>
    <w:sdtEndPr/>
    <w:sdtContent>
      <w:p w14:paraId="29E557C9" w14:textId="4DCFE95D" w:rsidR="000631E3" w:rsidRDefault="000631E3" w:rsidP="00CC0CDB">
        <w:pPr>
          <w:pStyle w:val="a5"/>
          <w:jc w:val="center"/>
        </w:pPr>
        <w:r>
          <w:fldChar w:fldCharType="begin"/>
        </w:r>
        <w:r>
          <w:instrText xml:space="preserve"> PAGE   \* MERGEFORMAT </w:instrText>
        </w:r>
        <w:r>
          <w:fldChar w:fldCharType="separate"/>
        </w:r>
        <w:r w:rsidR="0036692E">
          <w:rPr>
            <w:noProof/>
          </w:rPr>
          <w:t>8</w:t>
        </w:r>
        <w:r>
          <w:fldChar w:fldCharType="end"/>
        </w:r>
      </w:p>
      <w:p w14:paraId="5E65712A" w14:textId="77777777" w:rsidR="000631E3" w:rsidRDefault="000631E3" w:rsidP="00CB3A19">
        <w:pPr>
          <w:pStyle w:val="a5"/>
          <w:spacing w:after="120"/>
          <w:jc w:val="right"/>
        </w:pPr>
        <w:r>
          <w:t>Продовження таблиці 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185F3774"/>
    <w:multiLevelType w:val="hybridMultilevel"/>
    <w:tmpl w:val="33107C5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285F06C1"/>
    <w:multiLevelType w:val="hybridMultilevel"/>
    <w:tmpl w:val="DF241CA6"/>
    <w:lvl w:ilvl="0" w:tplc="47A293F0">
      <w:start w:val="1"/>
      <w:numFmt w:val="upperRoman"/>
      <w:lvlText w:val="%1."/>
      <w:lvlJc w:val="left"/>
      <w:pPr>
        <w:ind w:left="1515" w:hanging="72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3"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hyphenationZone w:val="425"/>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5CF3"/>
    <w:rsid w:val="00015FDE"/>
    <w:rsid w:val="00026669"/>
    <w:rsid w:val="000326BC"/>
    <w:rsid w:val="0003331E"/>
    <w:rsid w:val="000342A5"/>
    <w:rsid w:val="0003793C"/>
    <w:rsid w:val="0004622C"/>
    <w:rsid w:val="00052C76"/>
    <w:rsid w:val="000543C6"/>
    <w:rsid w:val="000600A8"/>
    <w:rsid w:val="00061C52"/>
    <w:rsid w:val="0006297F"/>
    <w:rsid w:val="000631E3"/>
    <w:rsid w:val="00063480"/>
    <w:rsid w:val="000638F2"/>
    <w:rsid w:val="0008592B"/>
    <w:rsid w:val="000913CC"/>
    <w:rsid w:val="000B0AB7"/>
    <w:rsid w:val="000B2990"/>
    <w:rsid w:val="000D778F"/>
    <w:rsid w:val="000D77DF"/>
    <w:rsid w:val="000E0CB3"/>
    <w:rsid w:val="000E45C3"/>
    <w:rsid w:val="000E5B8C"/>
    <w:rsid w:val="000E5CB6"/>
    <w:rsid w:val="000E7A13"/>
    <w:rsid w:val="00106229"/>
    <w:rsid w:val="00115ECF"/>
    <w:rsid w:val="00122B75"/>
    <w:rsid w:val="0015440A"/>
    <w:rsid w:val="0016054F"/>
    <w:rsid w:val="001631E2"/>
    <w:rsid w:val="001716B0"/>
    <w:rsid w:val="001740C0"/>
    <w:rsid w:val="00187859"/>
    <w:rsid w:val="00190E1A"/>
    <w:rsid w:val="001A0EE5"/>
    <w:rsid w:val="001A16FA"/>
    <w:rsid w:val="001A4CB9"/>
    <w:rsid w:val="001A6795"/>
    <w:rsid w:val="001C206C"/>
    <w:rsid w:val="001C3454"/>
    <w:rsid w:val="001C5175"/>
    <w:rsid w:val="001D487A"/>
    <w:rsid w:val="00216CFE"/>
    <w:rsid w:val="002238D1"/>
    <w:rsid w:val="00233F37"/>
    <w:rsid w:val="00236767"/>
    <w:rsid w:val="00241373"/>
    <w:rsid w:val="00253BF9"/>
    <w:rsid w:val="0025455E"/>
    <w:rsid w:val="002614EF"/>
    <w:rsid w:val="00264983"/>
    <w:rsid w:val="00266678"/>
    <w:rsid w:val="0027333C"/>
    <w:rsid w:val="002757F3"/>
    <w:rsid w:val="00276988"/>
    <w:rsid w:val="00280DCC"/>
    <w:rsid w:val="00285DDA"/>
    <w:rsid w:val="00290169"/>
    <w:rsid w:val="002956E6"/>
    <w:rsid w:val="002A2391"/>
    <w:rsid w:val="002B351E"/>
    <w:rsid w:val="002B3F71"/>
    <w:rsid w:val="002B582B"/>
    <w:rsid w:val="002C01D9"/>
    <w:rsid w:val="002C1FDB"/>
    <w:rsid w:val="002C6CFC"/>
    <w:rsid w:val="002D1790"/>
    <w:rsid w:val="002F48EF"/>
    <w:rsid w:val="00305F10"/>
    <w:rsid w:val="0031090D"/>
    <w:rsid w:val="00332701"/>
    <w:rsid w:val="003360AD"/>
    <w:rsid w:val="00340D07"/>
    <w:rsid w:val="00345982"/>
    <w:rsid w:val="00351D92"/>
    <w:rsid w:val="00356E34"/>
    <w:rsid w:val="00357676"/>
    <w:rsid w:val="00364120"/>
    <w:rsid w:val="0036692E"/>
    <w:rsid w:val="0038385E"/>
    <w:rsid w:val="00384F65"/>
    <w:rsid w:val="00390A5B"/>
    <w:rsid w:val="0039725C"/>
    <w:rsid w:val="003A16E7"/>
    <w:rsid w:val="003A3339"/>
    <w:rsid w:val="003A751F"/>
    <w:rsid w:val="003B45D0"/>
    <w:rsid w:val="003C09CB"/>
    <w:rsid w:val="003C10F1"/>
    <w:rsid w:val="003C3282"/>
    <w:rsid w:val="003C3985"/>
    <w:rsid w:val="003D6B33"/>
    <w:rsid w:val="003F0441"/>
    <w:rsid w:val="003F28B5"/>
    <w:rsid w:val="003F7093"/>
    <w:rsid w:val="00401EDB"/>
    <w:rsid w:val="00404C93"/>
    <w:rsid w:val="0040640F"/>
    <w:rsid w:val="00407877"/>
    <w:rsid w:val="004130B9"/>
    <w:rsid w:val="00427D70"/>
    <w:rsid w:val="00445E19"/>
    <w:rsid w:val="00446704"/>
    <w:rsid w:val="00455B45"/>
    <w:rsid w:val="00460BA2"/>
    <w:rsid w:val="004666D6"/>
    <w:rsid w:val="00473EF2"/>
    <w:rsid w:val="004A1CFC"/>
    <w:rsid w:val="004A4917"/>
    <w:rsid w:val="004A7F75"/>
    <w:rsid w:val="004B1FE9"/>
    <w:rsid w:val="004B5574"/>
    <w:rsid w:val="004C1922"/>
    <w:rsid w:val="004C6A07"/>
    <w:rsid w:val="004D2B57"/>
    <w:rsid w:val="004D71FD"/>
    <w:rsid w:val="004E22E2"/>
    <w:rsid w:val="004E562B"/>
    <w:rsid w:val="004F01D5"/>
    <w:rsid w:val="004F50D6"/>
    <w:rsid w:val="0050563F"/>
    <w:rsid w:val="0050596D"/>
    <w:rsid w:val="005212A1"/>
    <w:rsid w:val="005212C5"/>
    <w:rsid w:val="00523C13"/>
    <w:rsid w:val="00524D77"/>
    <w:rsid w:val="00524F07"/>
    <w:rsid w:val="005257C2"/>
    <w:rsid w:val="00532633"/>
    <w:rsid w:val="00533722"/>
    <w:rsid w:val="005403F1"/>
    <w:rsid w:val="00542533"/>
    <w:rsid w:val="00544CE2"/>
    <w:rsid w:val="005624B6"/>
    <w:rsid w:val="00562C46"/>
    <w:rsid w:val="0057237F"/>
    <w:rsid w:val="00577402"/>
    <w:rsid w:val="005822CB"/>
    <w:rsid w:val="00597AB6"/>
    <w:rsid w:val="005A0F4B"/>
    <w:rsid w:val="005A1D3C"/>
    <w:rsid w:val="005A2E3D"/>
    <w:rsid w:val="005A3F34"/>
    <w:rsid w:val="005B2D03"/>
    <w:rsid w:val="005C5CBF"/>
    <w:rsid w:val="005D3B88"/>
    <w:rsid w:val="005D45F5"/>
    <w:rsid w:val="005E097D"/>
    <w:rsid w:val="005E3FA8"/>
    <w:rsid w:val="005E58AD"/>
    <w:rsid w:val="005F4548"/>
    <w:rsid w:val="005F4CB4"/>
    <w:rsid w:val="005F6B35"/>
    <w:rsid w:val="005F6ECD"/>
    <w:rsid w:val="00640082"/>
    <w:rsid w:val="00640612"/>
    <w:rsid w:val="0064227D"/>
    <w:rsid w:val="00645E93"/>
    <w:rsid w:val="0065179F"/>
    <w:rsid w:val="00657593"/>
    <w:rsid w:val="00670C95"/>
    <w:rsid w:val="006925CE"/>
    <w:rsid w:val="00692C8C"/>
    <w:rsid w:val="006B2748"/>
    <w:rsid w:val="006B465F"/>
    <w:rsid w:val="006C06A1"/>
    <w:rsid w:val="006C0F22"/>
    <w:rsid w:val="006C13B1"/>
    <w:rsid w:val="006C4176"/>
    <w:rsid w:val="006C5E57"/>
    <w:rsid w:val="006C66EF"/>
    <w:rsid w:val="006D09DE"/>
    <w:rsid w:val="006D2617"/>
    <w:rsid w:val="00700AA3"/>
    <w:rsid w:val="007142BA"/>
    <w:rsid w:val="00714823"/>
    <w:rsid w:val="00717197"/>
    <w:rsid w:val="0071789F"/>
    <w:rsid w:val="00723C85"/>
    <w:rsid w:val="00730088"/>
    <w:rsid w:val="00740E2D"/>
    <w:rsid w:val="007427CD"/>
    <w:rsid w:val="00747222"/>
    <w:rsid w:val="00750898"/>
    <w:rsid w:val="00761296"/>
    <w:rsid w:val="0076356A"/>
    <w:rsid w:val="007712EF"/>
    <w:rsid w:val="0077164D"/>
    <w:rsid w:val="00773559"/>
    <w:rsid w:val="0078127A"/>
    <w:rsid w:val="00783AF2"/>
    <w:rsid w:val="00787E46"/>
    <w:rsid w:val="0079249C"/>
    <w:rsid w:val="007A2B24"/>
    <w:rsid w:val="007A6609"/>
    <w:rsid w:val="007B7B73"/>
    <w:rsid w:val="007C092F"/>
    <w:rsid w:val="007C2CED"/>
    <w:rsid w:val="007E6FB2"/>
    <w:rsid w:val="007F16F3"/>
    <w:rsid w:val="00801823"/>
    <w:rsid w:val="00802988"/>
    <w:rsid w:val="0082114C"/>
    <w:rsid w:val="008274C0"/>
    <w:rsid w:val="008415A0"/>
    <w:rsid w:val="00851457"/>
    <w:rsid w:val="0085364B"/>
    <w:rsid w:val="008661B0"/>
    <w:rsid w:val="00866993"/>
    <w:rsid w:val="00874366"/>
    <w:rsid w:val="00875A46"/>
    <w:rsid w:val="008762D8"/>
    <w:rsid w:val="008901F2"/>
    <w:rsid w:val="00890E20"/>
    <w:rsid w:val="00892286"/>
    <w:rsid w:val="00897035"/>
    <w:rsid w:val="008971BF"/>
    <w:rsid w:val="008A3FE0"/>
    <w:rsid w:val="008B1589"/>
    <w:rsid w:val="008B5CF2"/>
    <w:rsid w:val="008B74DD"/>
    <w:rsid w:val="008C33C5"/>
    <w:rsid w:val="008C72B5"/>
    <w:rsid w:val="008D10FD"/>
    <w:rsid w:val="008D122F"/>
    <w:rsid w:val="008D5F60"/>
    <w:rsid w:val="008D727F"/>
    <w:rsid w:val="008E0036"/>
    <w:rsid w:val="008F0210"/>
    <w:rsid w:val="008F2600"/>
    <w:rsid w:val="008F2BD6"/>
    <w:rsid w:val="008F5D52"/>
    <w:rsid w:val="00904F17"/>
    <w:rsid w:val="00907716"/>
    <w:rsid w:val="00922966"/>
    <w:rsid w:val="0092710A"/>
    <w:rsid w:val="0093660F"/>
    <w:rsid w:val="00937AE3"/>
    <w:rsid w:val="00937D24"/>
    <w:rsid w:val="00943175"/>
    <w:rsid w:val="0095741D"/>
    <w:rsid w:val="00970F30"/>
    <w:rsid w:val="0097288F"/>
    <w:rsid w:val="0098207E"/>
    <w:rsid w:val="00990AAE"/>
    <w:rsid w:val="009A0F67"/>
    <w:rsid w:val="009A60B0"/>
    <w:rsid w:val="009B6120"/>
    <w:rsid w:val="009C2F76"/>
    <w:rsid w:val="009D70CE"/>
    <w:rsid w:val="009F5312"/>
    <w:rsid w:val="00A02655"/>
    <w:rsid w:val="00A02AEC"/>
    <w:rsid w:val="00A0594A"/>
    <w:rsid w:val="00A10A24"/>
    <w:rsid w:val="00A12C47"/>
    <w:rsid w:val="00A23E04"/>
    <w:rsid w:val="00A46C15"/>
    <w:rsid w:val="00A50DC0"/>
    <w:rsid w:val="00A63695"/>
    <w:rsid w:val="00A6718A"/>
    <w:rsid w:val="00A72B9D"/>
    <w:rsid w:val="00A72F06"/>
    <w:rsid w:val="00A730F2"/>
    <w:rsid w:val="00A765F1"/>
    <w:rsid w:val="00A77FFD"/>
    <w:rsid w:val="00AA74FF"/>
    <w:rsid w:val="00AB4554"/>
    <w:rsid w:val="00AC47B6"/>
    <w:rsid w:val="00AD7DF9"/>
    <w:rsid w:val="00AE29BB"/>
    <w:rsid w:val="00AE2CAF"/>
    <w:rsid w:val="00AF281E"/>
    <w:rsid w:val="00AF33D9"/>
    <w:rsid w:val="00B002E4"/>
    <w:rsid w:val="00B25415"/>
    <w:rsid w:val="00B332B2"/>
    <w:rsid w:val="00B34CCC"/>
    <w:rsid w:val="00B36EC7"/>
    <w:rsid w:val="00B36EDD"/>
    <w:rsid w:val="00B46BFD"/>
    <w:rsid w:val="00B51CEB"/>
    <w:rsid w:val="00B61C97"/>
    <w:rsid w:val="00B628C5"/>
    <w:rsid w:val="00B71933"/>
    <w:rsid w:val="00B73EDC"/>
    <w:rsid w:val="00B8078D"/>
    <w:rsid w:val="00BB0B81"/>
    <w:rsid w:val="00BB3CBB"/>
    <w:rsid w:val="00BB6059"/>
    <w:rsid w:val="00BC1029"/>
    <w:rsid w:val="00BD12A3"/>
    <w:rsid w:val="00BD6D34"/>
    <w:rsid w:val="00BD7F6E"/>
    <w:rsid w:val="00BF47B0"/>
    <w:rsid w:val="00BF5327"/>
    <w:rsid w:val="00C21D33"/>
    <w:rsid w:val="00C25098"/>
    <w:rsid w:val="00C3382F"/>
    <w:rsid w:val="00C341D9"/>
    <w:rsid w:val="00C3675B"/>
    <w:rsid w:val="00C36B8E"/>
    <w:rsid w:val="00C435DF"/>
    <w:rsid w:val="00C4377C"/>
    <w:rsid w:val="00C47F0F"/>
    <w:rsid w:val="00C51D84"/>
    <w:rsid w:val="00C52506"/>
    <w:rsid w:val="00C82259"/>
    <w:rsid w:val="00C83616"/>
    <w:rsid w:val="00C87B8D"/>
    <w:rsid w:val="00C87FF7"/>
    <w:rsid w:val="00C9297C"/>
    <w:rsid w:val="00C94014"/>
    <w:rsid w:val="00C95260"/>
    <w:rsid w:val="00CB0A99"/>
    <w:rsid w:val="00CB3A19"/>
    <w:rsid w:val="00CB5A09"/>
    <w:rsid w:val="00CC0CDB"/>
    <w:rsid w:val="00CD0CD4"/>
    <w:rsid w:val="00CE3B9F"/>
    <w:rsid w:val="00CF1FB8"/>
    <w:rsid w:val="00CF2C65"/>
    <w:rsid w:val="00CF6388"/>
    <w:rsid w:val="00D078B6"/>
    <w:rsid w:val="00D1022C"/>
    <w:rsid w:val="00D26233"/>
    <w:rsid w:val="00D27115"/>
    <w:rsid w:val="00D34DCC"/>
    <w:rsid w:val="00D61D9B"/>
    <w:rsid w:val="00D8609F"/>
    <w:rsid w:val="00D97FF3"/>
    <w:rsid w:val="00DA17DF"/>
    <w:rsid w:val="00DA2F09"/>
    <w:rsid w:val="00DB361D"/>
    <w:rsid w:val="00DC1E60"/>
    <w:rsid w:val="00DD0277"/>
    <w:rsid w:val="00DD60CC"/>
    <w:rsid w:val="00DE1BC8"/>
    <w:rsid w:val="00DE2F76"/>
    <w:rsid w:val="00DE63C6"/>
    <w:rsid w:val="00DF1025"/>
    <w:rsid w:val="00DF4D12"/>
    <w:rsid w:val="00E10AE2"/>
    <w:rsid w:val="00E10F0A"/>
    <w:rsid w:val="00E20050"/>
    <w:rsid w:val="00E21875"/>
    <w:rsid w:val="00E25407"/>
    <w:rsid w:val="00E32599"/>
    <w:rsid w:val="00E33B0E"/>
    <w:rsid w:val="00E42621"/>
    <w:rsid w:val="00E446A6"/>
    <w:rsid w:val="00E469E8"/>
    <w:rsid w:val="00E53CB5"/>
    <w:rsid w:val="00E53CCD"/>
    <w:rsid w:val="00E5572C"/>
    <w:rsid w:val="00E62607"/>
    <w:rsid w:val="00E64BFA"/>
    <w:rsid w:val="00E71855"/>
    <w:rsid w:val="00E719A9"/>
    <w:rsid w:val="00E720C4"/>
    <w:rsid w:val="00EA1C47"/>
    <w:rsid w:val="00EA1DE4"/>
    <w:rsid w:val="00EA60EA"/>
    <w:rsid w:val="00EB1F2F"/>
    <w:rsid w:val="00EB29BF"/>
    <w:rsid w:val="00EC7C7F"/>
    <w:rsid w:val="00EE1B30"/>
    <w:rsid w:val="00EF4B42"/>
    <w:rsid w:val="00F003D3"/>
    <w:rsid w:val="00F008AB"/>
    <w:rsid w:val="00F03E32"/>
    <w:rsid w:val="00F16945"/>
    <w:rsid w:val="00F20F24"/>
    <w:rsid w:val="00F343CC"/>
    <w:rsid w:val="00F42289"/>
    <w:rsid w:val="00F42E75"/>
    <w:rsid w:val="00F45D65"/>
    <w:rsid w:val="00F47456"/>
    <w:rsid w:val="00F517FA"/>
    <w:rsid w:val="00F52D16"/>
    <w:rsid w:val="00F5442F"/>
    <w:rsid w:val="00F62D67"/>
    <w:rsid w:val="00F63BD9"/>
    <w:rsid w:val="00F6694C"/>
    <w:rsid w:val="00F74CC5"/>
    <w:rsid w:val="00F8145F"/>
    <w:rsid w:val="00F9283D"/>
    <w:rsid w:val="00F96F18"/>
    <w:rsid w:val="00FA508E"/>
    <w:rsid w:val="00FA5320"/>
    <w:rsid w:val="00FA7846"/>
    <w:rsid w:val="00FB79C6"/>
    <w:rsid w:val="00FC26E5"/>
    <w:rsid w:val="00FD19F1"/>
    <w:rsid w:val="00FD370F"/>
    <w:rsid w:val="00FE0B90"/>
    <w:rsid w:val="00FE14C9"/>
    <w:rsid w:val="00FE1999"/>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C9BB729"/>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table" w:customStyle="1" w:styleId="1">
    <w:name w:val="Сітка таблиці1"/>
    <w:basedOn w:val="a1"/>
    <w:next w:val="a9"/>
    <w:uiPriority w:val="59"/>
    <w:rsid w:val="00892286"/>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C0CDB"/>
    <w:pPr>
      <w:spacing w:before="100" w:beforeAutospacing="1" w:after="100" w:afterAutospacing="1"/>
      <w:jc w:val="left"/>
    </w:pPr>
    <w:rPr>
      <w:sz w:val="24"/>
      <w:szCs w:val="24"/>
      <w:lang w:val="ru-RU" w:eastAsia="ru-RU"/>
    </w:rPr>
  </w:style>
  <w:style w:type="character" w:styleId="af4">
    <w:name w:val="annotation reference"/>
    <w:basedOn w:val="a0"/>
    <w:uiPriority w:val="99"/>
    <w:semiHidden/>
    <w:unhideWhenUsed/>
    <w:rsid w:val="00CC0CDB"/>
    <w:rPr>
      <w:sz w:val="16"/>
      <w:szCs w:val="16"/>
    </w:rPr>
  </w:style>
  <w:style w:type="paragraph" w:styleId="af5">
    <w:name w:val="annotation text"/>
    <w:basedOn w:val="a"/>
    <w:link w:val="af6"/>
    <w:uiPriority w:val="99"/>
    <w:semiHidden/>
    <w:unhideWhenUsed/>
    <w:rsid w:val="00CC0CDB"/>
    <w:rPr>
      <w:sz w:val="20"/>
      <w:szCs w:val="20"/>
    </w:rPr>
  </w:style>
  <w:style w:type="character" w:customStyle="1" w:styleId="af6">
    <w:name w:val="Текст примітки Знак"/>
    <w:basedOn w:val="a0"/>
    <w:link w:val="af5"/>
    <w:uiPriority w:val="99"/>
    <w:semiHidden/>
    <w:rsid w:val="00CC0CDB"/>
    <w:rPr>
      <w:rFonts w:ascii="Times New Roman" w:hAnsi="Times New Roman" w:cs="Times New Roman"/>
      <w:sz w:val="20"/>
      <w:szCs w:val="20"/>
      <w:lang w:eastAsia="uk-UA"/>
    </w:rPr>
  </w:style>
  <w:style w:type="character" w:styleId="af7">
    <w:name w:val="Hyperlink"/>
    <w:basedOn w:val="a0"/>
    <w:uiPriority w:val="99"/>
    <w:unhideWhenUsed/>
    <w:rsid w:val="0008592B"/>
    <w:rPr>
      <w:color w:val="0000FF" w:themeColor="hyperlink"/>
      <w:u w:val="single"/>
    </w:rPr>
  </w:style>
  <w:style w:type="paragraph" w:styleId="af8">
    <w:name w:val="annotation subject"/>
    <w:basedOn w:val="af5"/>
    <w:next w:val="af5"/>
    <w:link w:val="af9"/>
    <w:uiPriority w:val="99"/>
    <w:semiHidden/>
    <w:unhideWhenUsed/>
    <w:rsid w:val="0093660F"/>
    <w:rPr>
      <w:b/>
      <w:bCs/>
    </w:rPr>
  </w:style>
  <w:style w:type="character" w:customStyle="1" w:styleId="af9">
    <w:name w:val="Тема примітки Знак"/>
    <w:basedOn w:val="af6"/>
    <w:link w:val="af8"/>
    <w:uiPriority w:val="99"/>
    <w:semiHidden/>
    <w:rsid w:val="0093660F"/>
    <w:rPr>
      <w:rFonts w:ascii="Times New Roman" w:hAnsi="Times New Roman" w:cs="Times New Roman"/>
      <w:b/>
      <w:bCs/>
      <w:sz w:val="20"/>
      <w:szCs w:val="20"/>
      <w:lang w:eastAsia="uk-UA"/>
    </w:rPr>
  </w:style>
  <w:style w:type="character" w:styleId="afa">
    <w:name w:val="FollowedHyperlink"/>
    <w:basedOn w:val="a0"/>
    <w:uiPriority w:val="99"/>
    <w:semiHidden/>
    <w:unhideWhenUsed/>
    <w:rsid w:val="00761296"/>
    <w:rPr>
      <w:color w:val="800080" w:themeColor="followedHyperlink"/>
      <w:u w:val="single"/>
    </w:rPr>
  </w:style>
  <w:style w:type="paragraph" w:styleId="afb">
    <w:name w:val="Revision"/>
    <w:hidden/>
    <w:uiPriority w:val="99"/>
    <w:semiHidden/>
    <w:rsid w:val="00907716"/>
    <w:pPr>
      <w:spacing w:after="0" w:line="240" w:lineRule="auto"/>
    </w:pPr>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of.gov.ua/uk/local_bonds_issued_during_the_war_time-572"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F8B9B379-7018-4A3A-A88B-F8671DED096D}">
  <ds:schemaRef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ED49102-EBDC-401F-ACAF-A23C9F40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2063</Words>
  <Characters>13152</Characters>
  <Application>Microsoft Office Word</Application>
  <DocSecurity>0</DocSecurity>
  <Lines>109</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Забіяка Олена Володимирівна</cp:lastModifiedBy>
  <cp:revision>5</cp:revision>
  <cp:lastPrinted>2015-04-06T07:59:00Z</cp:lastPrinted>
  <dcterms:created xsi:type="dcterms:W3CDTF">2023-05-23T16:54:00Z</dcterms:created>
  <dcterms:modified xsi:type="dcterms:W3CDTF">2023-05-23T17:12:00Z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