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82C36" w14:textId="0EAEA0F7" w:rsidR="00657593" w:rsidRPr="00BF526A" w:rsidRDefault="009C632E" w:rsidP="00657593">
      <w:pPr>
        <w:rPr>
          <w:sz w:val="2"/>
          <w:szCs w:val="2"/>
          <w:lang w:val="en-US"/>
        </w:rPr>
      </w:pPr>
      <w:r>
        <w:rPr>
          <w:noProof/>
        </w:rPr>
        <mc:AlternateContent>
          <mc:Choice Requires="wps">
            <w:drawing>
              <wp:anchor distT="0" distB="0" distL="114300" distR="114300" simplePos="0" relativeHeight="251659264" behindDoc="0" locked="0" layoutInCell="1" allowOverlap="1" wp14:anchorId="2F0B0ADD" wp14:editId="35F8A699">
                <wp:simplePos x="0" y="0"/>
                <wp:positionH relativeFrom="margin">
                  <wp:posOffset>3710305</wp:posOffset>
                </wp:positionH>
                <wp:positionV relativeFrom="paragraph">
                  <wp:posOffset>-331470</wp:posOffset>
                </wp:positionV>
                <wp:extent cx="2466975" cy="628650"/>
                <wp:effectExtent l="0" t="0" r="0" b="0"/>
                <wp:wrapNone/>
                <wp:docPr id="4" name="Прямокутник 4"/>
                <wp:cNvGraphicFramePr/>
                <a:graphic xmlns:a="http://schemas.openxmlformats.org/drawingml/2006/main">
                  <a:graphicData uri="http://schemas.microsoft.com/office/word/2010/wordprocessingShape">
                    <wps:wsp>
                      <wps:cNvSpPr/>
                      <wps:spPr>
                        <a:xfrm>
                          <a:off x="0" y="0"/>
                          <a:ext cx="2466975" cy="6286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C39CB7A" w14:textId="31F65D8D" w:rsidR="00356EBA" w:rsidRPr="00356EBA" w:rsidRDefault="00356EBA" w:rsidP="00356EBA">
                            <w:pPr>
                              <w:jc w:val="center"/>
                              <w:rPr>
                                <w:sz w:val="24"/>
                              </w:rPr>
                            </w:pPr>
                            <w:bookmarkStart w:id="0" w:name="_GoBack"/>
                            <w:r w:rsidRPr="00356EBA">
                              <w:rPr>
                                <w:sz w:val="24"/>
                              </w:rPr>
                              <w:t>Офіційно опубліковано 28.08.2024</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0B0ADD" id="Прямокутник 4" o:spid="_x0000_s1026" style="position:absolute;left:0;text-align:left;margin-left:292.15pt;margin-top:-26.1pt;width:194.25pt;height:49.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" filled="f" stroked="f" strokeweight="2pt">
                <v:textbox>
                  <w:txbxContent>
                    <w:p w14:paraId="7C39CB7A" w14:textId="31F65D8D" w:rsidR="00356EBA" w:rsidRPr="00356EBA" w:rsidRDefault="00356EBA" w:rsidP="00356EBA">
                      <w:pPr>
                        <w:jc w:val="center"/>
                        <w:rPr>
                          <w:sz w:val="24"/>
                        </w:rPr>
                      </w:pPr>
                      <w:bookmarkStart w:id="1" w:name="_GoBack"/>
                      <w:r w:rsidRPr="00356EBA">
                        <w:rPr>
                          <w:sz w:val="24"/>
                        </w:rPr>
                        <w:t>Офіційно опубліковано 28.08.2024</w:t>
                      </w:r>
                      <w:bookmarkEnd w:id="1"/>
                    </w:p>
                  </w:txbxContent>
                </v:textbox>
                <w10:wrap anchorx="margin"/>
              </v:rect>
            </w:pict>
          </mc:Fallback>
        </mc:AlternateConten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1B0B2C" w14:paraId="48E316EF" w14:textId="77777777" w:rsidTr="00E054A9">
        <w:trPr>
          <w:trHeight w:val="851"/>
        </w:trPr>
        <w:tc>
          <w:tcPr>
            <w:tcW w:w="3284" w:type="dxa"/>
          </w:tcPr>
          <w:p w14:paraId="4D450762" w14:textId="7F36434D" w:rsidR="00657593" w:rsidRDefault="00657593" w:rsidP="00E054A9"/>
        </w:tc>
        <w:tc>
          <w:tcPr>
            <w:tcW w:w="3285" w:type="dxa"/>
            <w:vMerge w:val="restart"/>
          </w:tcPr>
          <w:p w14:paraId="6C390680" w14:textId="6DE1CC3E" w:rsidR="00657593" w:rsidRDefault="00F547F2" w:rsidP="00E054A9">
            <w:pPr>
              <w:jc w:val="center"/>
            </w:pPr>
            <w:r>
              <w:object w:dxaOrig="689" w:dyaOrig="950" w14:anchorId="7B1CA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v:imagedata r:id="rId12" o:title=""/>
                </v:shape>
                <o:OLEObject Type="Embed" ProgID="CorelDraw.Graphic.16" ShapeID="_x0000_i1025" DrawAspect="Content" ObjectID="_1786172321" r:id="rId13"/>
              </w:object>
            </w:r>
          </w:p>
        </w:tc>
        <w:tc>
          <w:tcPr>
            <w:tcW w:w="3285" w:type="dxa"/>
          </w:tcPr>
          <w:p w14:paraId="62BB5CC7" w14:textId="79781445" w:rsidR="00657593" w:rsidRDefault="00657593" w:rsidP="003C2113">
            <w:pPr>
              <w:jc w:val="left"/>
            </w:pPr>
          </w:p>
        </w:tc>
      </w:tr>
      <w:tr w:rsidR="001B0B2C" w14:paraId="5BA33A8D" w14:textId="77777777" w:rsidTr="00E054A9">
        <w:tc>
          <w:tcPr>
            <w:tcW w:w="3284" w:type="dxa"/>
          </w:tcPr>
          <w:p w14:paraId="4AF3A418" w14:textId="3A34C39B" w:rsidR="00657593" w:rsidRDefault="00657593" w:rsidP="00E054A9"/>
        </w:tc>
        <w:tc>
          <w:tcPr>
            <w:tcW w:w="3285" w:type="dxa"/>
            <w:vMerge/>
          </w:tcPr>
          <w:p w14:paraId="7FEAFB51" w14:textId="77777777" w:rsidR="00657593" w:rsidRDefault="00657593" w:rsidP="00E054A9"/>
        </w:tc>
        <w:tc>
          <w:tcPr>
            <w:tcW w:w="3285" w:type="dxa"/>
          </w:tcPr>
          <w:p w14:paraId="74B84104" w14:textId="0B97EC2A" w:rsidR="00657593" w:rsidRDefault="00657593" w:rsidP="00E054A9"/>
        </w:tc>
      </w:tr>
      <w:tr w:rsidR="001B0B2C" w14:paraId="294F4151" w14:textId="77777777" w:rsidTr="00E054A9">
        <w:tc>
          <w:tcPr>
            <w:tcW w:w="9854" w:type="dxa"/>
            <w:gridSpan w:val="3"/>
          </w:tcPr>
          <w:p w14:paraId="200A160E" w14:textId="2390CB57" w:rsidR="00657593" w:rsidRPr="00E10F0A" w:rsidRDefault="00F547F2" w:rsidP="00E054A9">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14:paraId="3DFCE0F7" w14:textId="46458AE3" w:rsidR="00657593" w:rsidRDefault="00F547F2" w:rsidP="00E054A9">
            <w:pPr>
              <w:jc w:val="center"/>
            </w:pPr>
            <w:r w:rsidRPr="00E10F0A">
              <w:rPr>
                <w:b/>
                <w:bCs/>
                <w:color w:val="006600"/>
                <w:sz w:val="32"/>
                <w:szCs w:val="32"/>
              </w:rPr>
              <w:t>П О С Т А Н О В А</w:t>
            </w:r>
          </w:p>
        </w:tc>
      </w:tr>
    </w:tbl>
    <w:p w14:paraId="6089953E" w14:textId="77777777" w:rsidR="00657593" w:rsidRPr="00566BA2" w:rsidRDefault="00657593" w:rsidP="00657593">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2636"/>
        <w:gridCol w:w="1668"/>
        <w:gridCol w:w="1898"/>
      </w:tblGrid>
      <w:tr w:rsidR="001B0B2C" w14:paraId="757E3339" w14:textId="77777777" w:rsidTr="00AB062E">
        <w:tc>
          <w:tcPr>
            <w:tcW w:w="3510" w:type="dxa"/>
            <w:vAlign w:val="bottom"/>
          </w:tcPr>
          <w:p w14:paraId="192F5D0B" w14:textId="54A82A76" w:rsidR="00657593" w:rsidRPr="00566BA2" w:rsidRDefault="0026311C" w:rsidP="00E054A9">
            <w:r>
              <w:t>23 серпня 2024 року</w:t>
            </w:r>
          </w:p>
        </w:tc>
        <w:tc>
          <w:tcPr>
            <w:tcW w:w="2694" w:type="dxa"/>
          </w:tcPr>
          <w:p w14:paraId="49112997" w14:textId="77777777" w:rsidR="00657593" w:rsidRDefault="00F547F2" w:rsidP="00E62607">
            <w:pPr>
              <w:spacing w:before="240"/>
              <w:jc w:val="center"/>
            </w:pPr>
            <w:r w:rsidRPr="00E10F0A">
              <w:rPr>
                <w:color w:val="006600"/>
              </w:rPr>
              <w:t>Київ</w:t>
            </w:r>
          </w:p>
        </w:tc>
        <w:tc>
          <w:tcPr>
            <w:tcW w:w="1713" w:type="dxa"/>
            <w:vAlign w:val="bottom"/>
          </w:tcPr>
          <w:p w14:paraId="32756158" w14:textId="77777777" w:rsidR="00657593" w:rsidRDefault="00657593" w:rsidP="00E62607">
            <w:pPr>
              <w:jc w:val="right"/>
            </w:pPr>
          </w:p>
        </w:tc>
        <w:tc>
          <w:tcPr>
            <w:tcW w:w="1937" w:type="dxa"/>
            <w:vAlign w:val="bottom"/>
          </w:tcPr>
          <w:p w14:paraId="5C243E7D" w14:textId="29659803" w:rsidR="00657593" w:rsidRDefault="00253BD7" w:rsidP="00290169">
            <w:pPr>
              <w:jc w:val="left"/>
            </w:pPr>
            <w:r>
              <w:t xml:space="preserve">             </w:t>
            </w:r>
            <w:r w:rsidR="0026311C">
              <w:t>№ 100</w:t>
            </w:r>
          </w:p>
        </w:tc>
      </w:tr>
    </w:tbl>
    <w:p w14:paraId="05800E8B" w14:textId="2EE30221" w:rsidR="00657593" w:rsidRPr="00CD0CD4" w:rsidRDefault="00657593" w:rsidP="00657593">
      <w:pPr>
        <w:rPr>
          <w:sz w:val="2"/>
          <w:szCs w:val="2"/>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1B0B2C" w14:paraId="3C17C47A" w14:textId="77777777" w:rsidTr="005212C5">
        <w:trPr>
          <w:jc w:val="center"/>
        </w:trPr>
        <w:tc>
          <w:tcPr>
            <w:tcW w:w="5000" w:type="pct"/>
          </w:tcPr>
          <w:p w14:paraId="1CBA8F4A" w14:textId="0C8415A5" w:rsidR="002B3F71" w:rsidRPr="00CD0CD4" w:rsidRDefault="00B85DAC" w:rsidP="00106229">
            <w:pPr>
              <w:tabs>
                <w:tab w:val="left" w:pos="840"/>
                <w:tab w:val="center" w:pos="3293"/>
              </w:tabs>
              <w:spacing w:before="240" w:after="240"/>
              <w:jc w:val="center"/>
              <w:rPr>
                <w:rFonts w:eastAsiaTheme="minorEastAsia"/>
                <w:color w:val="000000" w:themeColor="text1"/>
                <w:lang w:eastAsia="en-US"/>
              </w:rPr>
            </w:pPr>
            <w:r>
              <w:rPr>
                <w:rFonts w:eastAsiaTheme="minorEastAsia"/>
                <w:color w:val="000000" w:themeColor="text1"/>
                <w:lang w:eastAsia="en-US"/>
              </w:rPr>
              <w:t>Про затвердження З</w:t>
            </w:r>
            <w:r w:rsidRPr="004D7930">
              <w:rPr>
                <w:rFonts w:eastAsiaTheme="minorEastAsia"/>
                <w:color w:val="000000" w:themeColor="text1"/>
                <w:lang w:eastAsia="en-US"/>
              </w:rPr>
              <w:t xml:space="preserve">мін до Положення </w:t>
            </w:r>
            <w:r w:rsidR="006B609D" w:rsidRPr="00304F40">
              <w:rPr>
                <w:rFonts w:eastAsia="MS Mincho"/>
                <w:lang w:eastAsia="ja-JP"/>
              </w:rPr>
              <w:t>про ведення касових операцій у національній валюті в Україні</w:t>
            </w:r>
          </w:p>
        </w:tc>
      </w:tr>
    </w:tbl>
    <w:p w14:paraId="76D957CE" w14:textId="3F30F543" w:rsidR="006B609D" w:rsidRPr="00520170" w:rsidRDefault="006B609D" w:rsidP="006B609D">
      <w:pPr>
        <w:spacing w:before="240" w:after="240"/>
        <w:ind w:firstLine="567"/>
      </w:pPr>
      <w:r w:rsidRPr="00E94712">
        <w:t>Відповідно до статей 7, 15, 33, 40, 56 Закону України “Про Національний банк України”, з метою приведення порядку ведення суб’єктами господарювання касових операцій у національній валюті в Україні у відповідність до вимог законодавства України</w:t>
      </w:r>
      <w:r w:rsidRPr="00E94712">
        <w:rPr>
          <w:b/>
        </w:rPr>
        <w:t xml:space="preserve"> </w:t>
      </w:r>
      <w:r w:rsidRPr="00E94712">
        <w:t xml:space="preserve">Правління Національного банку </w:t>
      </w:r>
      <w:r w:rsidRPr="00520170">
        <w:t xml:space="preserve">України </w:t>
      </w:r>
      <w:r w:rsidRPr="00320C07">
        <w:rPr>
          <w:b/>
        </w:rPr>
        <w:t>постановляє</w:t>
      </w:r>
      <w:r w:rsidRPr="00520170">
        <w:t>:</w:t>
      </w:r>
    </w:p>
    <w:p w14:paraId="0B0A71BA" w14:textId="19AB5FAC" w:rsidR="006B609D" w:rsidRPr="00520170" w:rsidRDefault="006B609D" w:rsidP="006B609D">
      <w:pPr>
        <w:spacing w:before="240" w:after="240"/>
        <w:ind w:firstLine="567"/>
        <w:rPr>
          <w:noProof/>
          <w:spacing w:val="-6"/>
        </w:rPr>
      </w:pPr>
      <w:r w:rsidRPr="00520170">
        <w:rPr>
          <w:spacing w:val="-6"/>
          <w:lang w:val="ru-RU"/>
        </w:rPr>
        <w:t>1.</w:t>
      </w:r>
      <w:r w:rsidRPr="00520170">
        <w:rPr>
          <w:spacing w:val="-6"/>
          <w:lang w:val="en-US" w:eastAsia="ru-RU"/>
        </w:rPr>
        <w:t> </w:t>
      </w:r>
      <w:r w:rsidRPr="00520170">
        <w:rPr>
          <w:spacing w:val="-6"/>
          <w:lang w:eastAsia="ru-RU"/>
        </w:rPr>
        <w:t xml:space="preserve">Затвердити Зміни до Положення про ведення касових операцій у національній валюті в Україні, </w:t>
      </w:r>
      <w:r w:rsidRPr="00520170">
        <w:rPr>
          <w:spacing w:val="-6"/>
        </w:rPr>
        <w:t>затвердженого постановою Правління Національного банку України від 29 грудня 2017 року № 148 (зі змінами)</w:t>
      </w:r>
      <w:r w:rsidR="00746234">
        <w:rPr>
          <w:spacing w:val="-6"/>
        </w:rPr>
        <w:t xml:space="preserve"> (далі </w:t>
      </w:r>
      <w:r w:rsidR="00A96E4D" w:rsidRPr="00320C07">
        <w:rPr>
          <w:spacing w:val="-6"/>
        </w:rPr>
        <w:t>−</w:t>
      </w:r>
      <w:r w:rsidR="00A96E4D">
        <w:rPr>
          <w:spacing w:val="-6"/>
        </w:rPr>
        <w:t xml:space="preserve"> </w:t>
      </w:r>
      <w:r w:rsidR="00746234">
        <w:rPr>
          <w:spacing w:val="-6"/>
        </w:rPr>
        <w:t>Зміни)</w:t>
      </w:r>
      <w:r w:rsidRPr="00520170">
        <w:rPr>
          <w:spacing w:val="-6"/>
        </w:rPr>
        <w:t>,</w:t>
      </w:r>
      <w:r w:rsidRPr="00520170">
        <w:rPr>
          <w:spacing w:val="-6"/>
          <w:lang w:eastAsia="ru-RU"/>
        </w:rPr>
        <w:t xml:space="preserve"> що додаються. </w:t>
      </w:r>
    </w:p>
    <w:p w14:paraId="2AB991A9" w14:textId="7D01BFD9" w:rsidR="006B609D" w:rsidRPr="00520170" w:rsidRDefault="00136D45" w:rsidP="006B609D">
      <w:pPr>
        <w:spacing w:before="240" w:after="240"/>
        <w:ind w:firstLine="567"/>
        <w:rPr>
          <w:spacing w:val="-2"/>
          <w:lang w:eastAsia="ru-RU"/>
        </w:rPr>
      </w:pPr>
      <w:r w:rsidRPr="00520170">
        <w:rPr>
          <w:spacing w:val="-2"/>
          <w:lang w:eastAsia="ru-RU"/>
        </w:rPr>
        <w:t>2. Надавачам платіжних послуг, їх комерційним агентам</w:t>
      </w:r>
      <w:r w:rsidR="006B609D" w:rsidRPr="00520170">
        <w:rPr>
          <w:spacing w:val="-2"/>
          <w:lang w:eastAsia="ru-RU"/>
        </w:rPr>
        <w:t xml:space="preserve"> та підприємствам, яким згідно із законодавством України надано право на інкасацію коштів, перевезення валютн</w:t>
      </w:r>
      <w:r w:rsidR="00733F3C" w:rsidRPr="00520170">
        <w:rPr>
          <w:spacing w:val="-2"/>
          <w:lang w:eastAsia="ru-RU"/>
        </w:rPr>
        <w:t>их та інших цінностей, протягом шести</w:t>
      </w:r>
      <w:r w:rsidR="006B609D" w:rsidRPr="00520170">
        <w:rPr>
          <w:spacing w:val="-2"/>
          <w:lang w:eastAsia="ru-RU"/>
        </w:rPr>
        <w:t xml:space="preserve"> місяців </w:t>
      </w:r>
      <w:r w:rsidR="00A96E4D">
        <w:rPr>
          <w:spacing w:val="-2"/>
          <w:lang w:eastAsia="ru-RU"/>
        </w:rPr>
        <w:t>і</w:t>
      </w:r>
      <w:r w:rsidR="006B609D" w:rsidRPr="00520170">
        <w:rPr>
          <w:spacing w:val="-2"/>
          <w:lang w:eastAsia="ru-RU"/>
        </w:rPr>
        <w:t xml:space="preserve">з дня набрання чинності цією постановою здійснити перегляд, актуалізацію, переукладання та укладання договорів з клієнтами з метою приведення їх змісту у відповідність до </w:t>
      </w:r>
      <w:r w:rsidR="00837221">
        <w:rPr>
          <w:spacing w:val="-2"/>
          <w:lang w:eastAsia="ru-RU"/>
        </w:rPr>
        <w:t>Змін</w:t>
      </w:r>
      <w:r w:rsidR="006B609D" w:rsidRPr="00520170">
        <w:rPr>
          <w:spacing w:val="-2"/>
          <w:lang w:eastAsia="ru-RU"/>
        </w:rPr>
        <w:t xml:space="preserve">. </w:t>
      </w:r>
    </w:p>
    <w:p w14:paraId="2C15D6DD" w14:textId="77777777" w:rsidR="006B609D" w:rsidRPr="00520170" w:rsidRDefault="006B609D" w:rsidP="006B609D">
      <w:pPr>
        <w:spacing w:before="240" w:after="240"/>
        <w:ind w:firstLine="567"/>
      </w:pPr>
      <w:r w:rsidRPr="00520170">
        <w:t>3. Департаменту грошового обігу (</w:t>
      </w:r>
      <w:r w:rsidR="00DF572F" w:rsidRPr="00520170">
        <w:t>Олег Прохода</w:t>
      </w:r>
      <w:r w:rsidRPr="00520170">
        <w:t>) після офіційного опублікування довести до відома банків України, а банкам – до відома їх клієнтів інформацію про прийняття цієї постанови.</w:t>
      </w:r>
    </w:p>
    <w:p w14:paraId="5CE0A749" w14:textId="77777777" w:rsidR="006B609D" w:rsidRPr="00520170" w:rsidRDefault="006B609D" w:rsidP="006B609D">
      <w:pPr>
        <w:spacing w:before="240" w:after="240"/>
        <w:ind w:firstLine="567"/>
        <w:rPr>
          <w:noProof/>
        </w:rPr>
      </w:pPr>
      <w:r w:rsidRPr="00520170">
        <w:rPr>
          <w:lang w:val="ru-RU" w:eastAsia="ru-RU"/>
        </w:rPr>
        <w:t>4</w:t>
      </w:r>
      <w:r w:rsidRPr="00520170">
        <w:rPr>
          <w:lang w:eastAsia="ru-RU"/>
        </w:rPr>
        <w:t>. </w:t>
      </w:r>
      <w:r w:rsidRPr="00520170">
        <w:t xml:space="preserve">Контроль за виконанням цієї постанови покласти на </w:t>
      </w:r>
      <w:r w:rsidRPr="00520170">
        <w:rPr>
          <w:lang w:val="ru-RU"/>
        </w:rPr>
        <w:t xml:space="preserve">заступника </w:t>
      </w:r>
      <w:r w:rsidRPr="00520170">
        <w:t xml:space="preserve">Голови Національного банку України Олексія </w:t>
      </w:r>
      <w:proofErr w:type="spellStart"/>
      <w:r w:rsidRPr="00520170">
        <w:t>Шабана</w:t>
      </w:r>
      <w:proofErr w:type="spellEnd"/>
      <w:r w:rsidRPr="00520170">
        <w:rPr>
          <w:noProof/>
        </w:rPr>
        <w:t>.</w:t>
      </w:r>
    </w:p>
    <w:p w14:paraId="317E94E8" w14:textId="77777777" w:rsidR="006B609D" w:rsidRPr="00520170" w:rsidRDefault="006B609D" w:rsidP="006B609D">
      <w:pPr>
        <w:spacing w:before="240" w:after="240"/>
        <w:ind w:firstLine="567"/>
        <w:rPr>
          <w:noProof/>
        </w:rPr>
      </w:pPr>
      <w:r w:rsidRPr="00520170">
        <w:rPr>
          <w:lang w:eastAsia="ru-RU"/>
        </w:rPr>
        <w:t xml:space="preserve">5. Постанова набирає чинності з дня, наступного за днем її офіційного опублікування. </w:t>
      </w:r>
    </w:p>
    <w:tbl>
      <w:tblPr>
        <w:tblStyle w:val="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252"/>
      </w:tblGrid>
      <w:tr w:rsidR="006B609D" w:rsidRPr="00520170" w14:paraId="49CC5127" w14:textId="77777777" w:rsidTr="00837F36">
        <w:tc>
          <w:tcPr>
            <w:tcW w:w="5495" w:type="dxa"/>
            <w:vAlign w:val="bottom"/>
          </w:tcPr>
          <w:p w14:paraId="602345A5" w14:textId="77777777" w:rsidR="006B609D" w:rsidRPr="00520170" w:rsidRDefault="006B609D" w:rsidP="00837F36">
            <w:pPr>
              <w:autoSpaceDE w:val="0"/>
              <w:autoSpaceDN w:val="0"/>
              <w:ind w:hanging="110"/>
              <w:rPr>
                <w:lang w:eastAsia="ru-RU"/>
              </w:rPr>
            </w:pPr>
          </w:p>
          <w:p w14:paraId="4433C214" w14:textId="77777777" w:rsidR="006B609D" w:rsidRPr="00520170" w:rsidRDefault="006B609D" w:rsidP="00837F36">
            <w:pPr>
              <w:autoSpaceDE w:val="0"/>
              <w:autoSpaceDN w:val="0"/>
            </w:pPr>
            <w:r w:rsidRPr="00520170">
              <w:rPr>
                <w:lang w:eastAsia="ru-RU"/>
              </w:rPr>
              <w:t>Голова</w:t>
            </w:r>
          </w:p>
        </w:tc>
        <w:tc>
          <w:tcPr>
            <w:tcW w:w="4252" w:type="dxa"/>
            <w:vAlign w:val="bottom"/>
          </w:tcPr>
          <w:p w14:paraId="10A94BC4" w14:textId="77777777" w:rsidR="006B609D" w:rsidRPr="00520170" w:rsidRDefault="006B609D" w:rsidP="00837F36">
            <w:pPr>
              <w:tabs>
                <w:tab w:val="left" w:pos="7020"/>
                <w:tab w:val="left" w:pos="7200"/>
              </w:tabs>
              <w:autoSpaceDE w:val="0"/>
              <w:autoSpaceDN w:val="0"/>
              <w:ind w:left="32"/>
              <w:jc w:val="right"/>
            </w:pPr>
            <w:r w:rsidRPr="00520170">
              <w:t>Андрій ПИШНИЙ</w:t>
            </w:r>
          </w:p>
        </w:tc>
      </w:tr>
    </w:tbl>
    <w:p w14:paraId="3E5232CA" w14:textId="77777777" w:rsidR="006B609D" w:rsidRPr="00520170" w:rsidRDefault="006B609D" w:rsidP="006B609D"/>
    <w:p w14:paraId="72733F41" w14:textId="77777777" w:rsidR="006B609D" w:rsidRPr="00520170" w:rsidRDefault="006B609D" w:rsidP="006B609D">
      <w:pPr>
        <w:rPr>
          <w:lang w:eastAsia="ru-RU"/>
        </w:rPr>
      </w:pPr>
      <w:r w:rsidRPr="00520170">
        <w:t xml:space="preserve">Інд. </w:t>
      </w:r>
      <w:r w:rsidRPr="00520170">
        <w:rPr>
          <w:lang w:eastAsia="ru-RU"/>
        </w:rPr>
        <w:t>50</w:t>
      </w:r>
    </w:p>
    <w:p w14:paraId="435A1C3F" w14:textId="244776DC" w:rsidR="006B609D" w:rsidRPr="00520170" w:rsidRDefault="006B609D" w:rsidP="006B609D">
      <w:pPr>
        <w:tabs>
          <w:tab w:val="left" w:pos="10206"/>
        </w:tabs>
        <w:rPr>
          <w:lang w:eastAsia="ru-RU"/>
        </w:rPr>
      </w:pPr>
      <w:r w:rsidRPr="00520170">
        <w:rPr>
          <w:lang w:eastAsia="ru-RU"/>
        </w:rPr>
        <w:t>Аркуші погодження додаються.</w:t>
      </w:r>
    </w:p>
    <w:p w14:paraId="72FA669D" w14:textId="77777777" w:rsidR="00722D69" w:rsidRPr="00520170" w:rsidRDefault="00722D69" w:rsidP="00FA508E">
      <w:pPr>
        <w:jc w:val="left"/>
        <w:sectPr w:rsidR="00722D69" w:rsidRPr="00520170" w:rsidSect="00320C07">
          <w:headerReference w:type="default" r:id="rId14"/>
          <w:footerReference w:type="first" r:id="rId15"/>
          <w:pgSz w:w="11906" w:h="16838" w:code="9"/>
          <w:pgMar w:top="567" w:right="567" w:bottom="1701" w:left="1701" w:header="567" w:footer="709" w:gutter="0"/>
          <w:cols w:space="708"/>
          <w:titlePg/>
          <w:docGrid w:linePitch="381"/>
        </w:sectPr>
      </w:pPr>
    </w:p>
    <w:p w14:paraId="0B3F8B0D" w14:textId="694A53BC" w:rsidR="00397601" w:rsidRPr="00520170" w:rsidRDefault="00397601" w:rsidP="00397601">
      <w:r w:rsidRPr="00520170">
        <w:lastRenderedPageBreak/>
        <w:tab/>
      </w:r>
      <w:r w:rsidRPr="00520170">
        <w:tab/>
      </w:r>
      <w:r w:rsidRPr="00520170">
        <w:tab/>
      </w:r>
      <w:r w:rsidRPr="00520170">
        <w:tab/>
      </w:r>
      <w:r w:rsidRPr="00520170">
        <w:tab/>
      </w:r>
      <w:r w:rsidRPr="00520170">
        <w:tab/>
      </w:r>
      <w:r w:rsidRPr="00520170">
        <w:tab/>
      </w:r>
      <w:r w:rsidRPr="00520170">
        <w:tab/>
        <w:t>ЗАТВЕРДЖЕНО</w:t>
      </w:r>
    </w:p>
    <w:p w14:paraId="1FC6287F" w14:textId="58F39311" w:rsidR="00397601" w:rsidRPr="00520170" w:rsidRDefault="00397601" w:rsidP="00397601">
      <w:r w:rsidRPr="00520170">
        <w:tab/>
      </w:r>
      <w:r w:rsidRPr="00520170">
        <w:tab/>
      </w:r>
      <w:r w:rsidRPr="00520170">
        <w:tab/>
      </w:r>
      <w:r w:rsidRPr="00520170">
        <w:tab/>
      </w:r>
      <w:r w:rsidRPr="00520170">
        <w:tab/>
      </w:r>
      <w:r w:rsidRPr="00520170">
        <w:tab/>
      </w:r>
      <w:r w:rsidRPr="00520170">
        <w:tab/>
      </w:r>
      <w:r w:rsidRPr="00520170">
        <w:tab/>
        <w:t>Постанова Правління</w:t>
      </w:r>
    </w:p>
    <w:p w14:paraId="472A5144" w14:textId="77777777" w:rsidR="00B506E4" w:rsidRDefault="00397601" w:rsidP="00397601">
      <w:r w:rsidRPr="00520170">
        <w:tab/>
      </w:r>
      <w:r w:rsidRPr="00520170">
        <w:tab/>
      </w:r>
      <w:r w:rsidRPr="00520170">
        <w:tab/>
      </w:r>
      <w:r w:rsidRPr="00520170">
        <w:tab/>
      </w:r>
      <w:r w:rsidRPr="00520170">
        <w:tab/>
      </w:r>
      <w:r w:rsidRPr="00520170">
        <w:tab/>
      </w:r>
      <w:r w:rsidRPr="00520170">
        <w:tab/>
      </w:r>
      <w:r w:rsidRPr="00520170">
        <w:tab/>
        <w:t>Національного банку України</w:t>
      </w:r>
      <w:r w:rsidR="00B506E4">
        <w:t xml:space="preserve">                                   </w:t>
      </w:r>
    </w:p>
    <w:p w14:paraId="100C6183" w14:textId="35CA2227" w:rsidR="00397601" w:rsidRPr="00520170" w:rsidRDefault="00B506E4" w:rsidP="00397601">
      <w:r>
        <w:t xml:space="preserve">                                                                                 23 серпня 2024 року № 100</w:t>
      </w:r>
    </w:p>
    <w:p w14:paraId="46059C1B" w14:textId="77777777" w:rsidR="00397601" w:rsidRPr="00520170" w:rsidRDefault="003D0CD0" w:rsidP="00397601">
      <w:r w:rsidRPr="00520170">
        <w:tab/>
      </w:r>
      <w:r w:rsidRPr="00520170">
        <w:tab/>
      </w:r>
      <w:r w:rsidRPr="00520170">
        <w:tab/>
      </w:r>
      <w:r w:rsidRPr="00520170">
        <w:tab/>
      </w:r>
      <w:r w:rsidRPr="00520170">
        <w:tab/>
      </w:r>
      <w:r w:rsidRPr="00520170">
        <w:tab/>
      </w:r>
      <w:r w:rsidRPr="00520170">
        <w:tab/>
      </w:r>
      <w:r w:rsidRPr="00520170">
        <w:tab/>
      </w:r>
    </w:p>
    <w:p w14:paraId="60429684" w14:textId="1B49FD20" w:rsidR="00650FAE" w:rsidRPr="00520170" w:rsidRDefault="00650FAE" w:rsidP="00397601"/>
    <w:p w14:paraId="75953691" w14:textId="2FC2B8D5" w:rsidR="00650FAE" w:rsidRPr="00520170" w:rsidRDefault="00650FAE" w:rsidP="00397601"/>
    <w:p w14:paraId="6376212C" w14:textId="559A4F4D" w:rsidR="00650FAE" w:rsidRPr="00520170" w:rsidRDefault="00650FAE" w:rsidP="007768C4"/>
    <w:p w14:paraId="1CFC4AF7" w14:textId="40ABA2AF" w:rsidR="003E28B7" w:rsidRDefault="00397601" w:rsidP="00A82F91">
      <w:pPr>
        <w:jc w:val="center"/>
      </w:pPr>
      <w:r w:rsidRPr="00520170">
        <w:t>Зміни до Положення</w:t>
      </w:r>
    </w:p>
    <w:p w14:paraId="45E37006" w14:textId="6BEC56D3" w:rsidR="00397601" w:rsidRPr="00520170" w:rsidRDefault="00397601" w:rsidP="00A82F91">
      <w:pPr>
        <w:jc w:val="center"/>
      </w:pPr>
      <w:r w:rsidRPr="00520170">
        <w:t xml:space="preserve"> про </w:t>
      </w:r>
      <w:r w:rsidR="00A45DCD" w:rsidRPr="00520170">
        <w:t>ведення касових операцій у національній валюті в Україні</w:t>
      </w:r>
    </w:p>
    <w:p w14:paraId="414D6441" w14:textId="77777777" w:rsidR="00C327E8" w:rsidRPr="00520170" w:rsidRDefault="00C327E8" w:rsidP="00722D69"/>
    <w:p w14:paraId="510BF5CB" w14:textId="77777777" w:rsidR="00722D69" w:rsidRPr="00520170" w:rsidRDefault="00722D69" w:rsidP="00722D69">
      <w:pPr>
        <w:ind w:firstLine="567"/>
      </w:pPr>
      <w:r w:rsidRPr="00520170">
        <w:t>1. У розділі І:</w:t>
      </w:r>
    </w:p>
    <w:p w14:paraId="52E140F7" w14:textId="77777777" w:rsidR="00E8083B" w:rsidRPr="00520170" w:rsidRDefault="00E8083B" w:rsidP="00A82F91">
      <w:pPr>
        <w:rPr>
          <w:lang w:eastAsia="ru-RU"/>
        </w:rPr>
      </w:pPr>
    </w:p>
    <w:p w14:paraId="268623DE" w14:textId="77777777" w:rsidR="00E8083B" w:rsidRPr="00520170" w:rsidRDefault="00EB0714" w:rsidP="00E8083B">
      <w:pPr>
        <w:ind w:firstLine="567"/>
        <w:rPr>
          <w:lang w:eastAsia="ru-RU"/>
        </w:rPr>
      </w:pPr>
      <w:r w:rsidRPr="00520170">
        <w:rPr>
          <w:lang w:eastAsia="ru-RU"/>
        </w:rPr>
        <w:t xml:space="preserve">1) </w:t>
      </w:r>
      <w:r w:rsidR="00E8083B" w:rsidRPr="00520170">
        <w:rPr>
          <w:lang w:eastAsia="ru-RU"/>
        </w:rPr>
        <w:t>у пункті 2</w:t>
      </w:r>
      <w:r w:rsidR="00E8083B" w:rsidRPr="00520170">
        <w:rPr>
          <w:vertAlign w:val="superscript"/>
          <w:lang w:eastAsia="ru-RU"/>
        </w:rPr>
        <w:t>1</w:t>
      </w:r>
      <w:r w:rsidR="00E8083B" w:rsidRPr="00520170">
        <w:rPr>
          <w:lang w:eastAsia="ru-RU"/>
        </w:rPr>
        <w:t xml:space="preserve"> слова “</w:t>
      </w:r>
      <w:r w:rsidR="00E8083B" w:rsidRPr="00520170">
        <w:t>приймання готівки для виконання платіжних операцій,</w:t>
      </w:r>
      <w:r w:rsidR="00E8083B" w:rsidRPr="00520170">
        <w:rPr>
          <w:lang w:eastAsia="ru-RU"/>
        </w:rPr>
        <w:t>” виключити;</w:t>
      </w:r>
    </w:p>
    <w:p w14:paraId="031AB0DA" w14:textId="77777777" w:rsidR="00EB0714" w:rsidRPr="00520170" w:rsidRDefault="00EB0714" w:rsidP="00E8083B">
      <w:pPr>
        <w:ind w:firstLine="567"/>
        <w:rPr>
          <w:lang w:eastAsia="ru-RU"/>
        </w:rPr>
      </w:pPr>
    </w:p>
    <w:p w14:paraId="31FF4D53" w14:textId="77777777" w:rsidR="00E8083B" w:rsidRPr="00520170" w:rsidRDefault="00EB0714" w:rsidP="00E8083B">
      <w:pPr>
        <w:ind w:firstLine="567"/>
        <w:rPr>
          <w:lang w:eastAsia="ru-RU"/>
        </w:rPr>
      </w:pPr>
      <w:r w:rsidRPr="00520170">
        <w:rPr>
          <w:lang w:eastAsia="ru-RU"/>
        </w:rPr>
        <w:t xml:space="preserve">2) </w:t>
      </w:r>
      <w:r w:rsidR="00E8083B" w:rsidRPr="00520170">
        <w:rPr>
          <w:lang w:eastAsia="ru-RU"/>
        </w:rPr>
        <w:t xml:space="preserve">у </w:t>
      </w:r>
      <w:r w:rsidR="00D20605" w:rsidRPr="00520170">
        <w:rPr>
          <w:lang w:eastAsia="ru-RU"/>
        </w:rPr>
        <w:t xml:space="preserve">другому реченні підпункту </w:t>
      </w:r>
      <w:r w:rsidR="00E8083B" w:rsidRPr="00520170">
        <w:rPr>
          <w:lang w:eastAsia="ru-RU"/>
        </w:rPr>
        <w:t>16¹ пункту 3 цифру “7” замінити цифрою “6”</w:t>
      </w:r>
      <w:r w:rsidRPr="00520170">
        <w:rPr>
          <w:lang w:eastAsia="ru-RU"/>
        </w:rPr>
        <w:t>.</w:t>
      </w:r>
    </w:p>
    <w:p w14:paraId="2A46307D" w14:textId="77777777" w:rsidR="00E8083B" w:rsidRPr="00520170" w:rsidRDefault="00EB0714" w:rsidP="00E8083B">
      <w:pPr>
        <w:spacing w:before="240"/>
        <w:ind w:firstLine="567"/>
        <w:rPr>
          <w:lang w:eastAsia="ru-RU"/>
        </w:rPr>
      </w:pPr>
      <w:r w:rsidRPr="00520170">
        <w:rPr>
          <w:lang w:eastAsia="ru-RU"/>
        </w:rPr>
        <w:t>2.</w:t>
      </w:r>
      <w:r w:rsidR="00E8083B" w:rsidRPr="00520170">
        <w:rPr>
          <w:lang w:eastAsia="ru-RU"/>
        </w:rPr>
        <w:t xml:space="preserve"> </w:t>
      </w:r>
      <w:r w:rsidRPr="00520170">
        <w:rPr>
          <w:lang w:eastAsia="ru-RU"/>
        </w:rPr>
        <w:t>У</w:t>
      </w:r>
      <w:r w:rsidR="00E8083B" w:rsidRPr="00520170">
        <w:rPr>
          <w:lang w:eastAsia="ru-RU"/>
        </w:rPr>
        <w:t xml:space="preserve"> розділі ІІ:</w:t>
      </w:r>
    </w:p>
    <w:p w14:paraId="61BEF2E4" w14:textId="77777777" w:rsidR="00EB0714" w:rsidRPr="00520170" w:rsidRDefault="00EB0714" w:rsidP="00E8083B">
      <w:pPr>
        <w:ind w:firstLine="567"/>
        <w:rPr>
          <w:lang w:eastAsia="ru-RU"/>
        </w:rPr>
      </w:pPr>
    </w:p>
    <w:p w14:paraId="7578F99B" w14:textId="69714005" w:rsidR="004C6D8C" w:rsidRPr="00520170" w:rsidRDefault="00EB0714" w:rsidP="004C6D8C">
      <w:pPr>
        <w:ind w:firstLine="567"/>
        <w:rPr>
          <w:lang w:eastAsia="ru-RU"/>
        </w:rPr>
      </w:pPr>
      <w:r w:rsidRPr="00520170">
        <w:rPr>
          <w:lang w:eastAsia="ru-RU"/>
        </w:rPr>
        <w:t xml:space="preserve">1) </w:t>
      </w:r>
      <w:r w:rsidR="007667A1" w:rsidRPr="00520170">
        <w:rPr>
          <w:lang w:eastAsia="ru-RU"/>
        </w:rPr>
        <w:t>абзац перший</w:t>
      </w:r>
      <w:r w:rsidR="004C6D8C" w:rsidRPr="00520170">
        <w:rPr>
          <w:lang w:eastAsia="ru-RU"/>
        </w:rPr>
        <w:t xml:space="preserve"> пункту 5</w:t>
      </w:r>
      <w:r w:rsidR="007667A1" w:rsidRPr="00520170">
        <w:rPr>
          <w:lang w:eastAsia="ru-RU"/>
        </w:rPr>
        <w:t xml:space="preserve"> викласти </w:t>
      </w:r>
      <w:r w:rsidR="00A96E4D">
        <w:rPr>
          <w:lang w:eastAsia="ru-RU"/>
        </w:rPr>
        <w:t>в</w:t>
      </w:r>
      <w:r w:rsidR="007667A1" w:rsidRPr="00520170">
        <w:rPr>
          <w:lang w:eastAsia="ru-RU"/>
        </w:rPr>
        <w:t xml:space="preserve"> такій редакції</w:t>
      </w:r>
      <w:r w:rsidR="004C6D8C" w:rsidRPr="00520170">
        <w:rPr>
          <w:lang w:eastAsia="ru-RU"/>
        </w:rPr>
        <w:t>:</w:t>
      </w:r>
    </w:p>
    <w:p w14:paraId="3D0C94E9" w14:textId="77777777" w:rsidR="004C6D8C" w:rsidRPr="00520170" w:rsidRDefault="004C6D8C" w:rsidP="004C6D8C">
      <w:pPr>
        <w:ind w:firstLine="567"/>
        <w:rPr>
          <w:lang w:eastAsia="ru-RU"/>
        </w:rPr>
      </w:pPr>
      <w:r w:rsidRPr="00520170">
        <w:rPr>
          <w:lang w:eastAsia="ru-RU"/>
        </w:rPr>
        <w:t>“</w:t>
      </w:r>
      <w:r w:rsidR="007667A1" w:rsidRPr="00520170">
        <w:rPr>
          <w:lang w:eastAsia="ru-RU"/>
        </w:rPr>
        <w:t xml:space="preserve">5. </w:t>
      </w:r>
      <w:r w:rsidR="006E2E6D" w:rsidRPr="00520170">
        <w:t>Суб’</w:t>
      </w:r>
      <w:r w:rsidR="007667A1" w:rsidRPr="00520170">
        <w:t xml:space="preserve">єкти господарювання здійснюють розрахунки готівкою між собою і з фізичними особами через касу як коштами, одержаними як готівкова виручка, так і коштами, одержаними у надавачів платіжних послуг. </w:t>
      </w:r>
      <w:r w:rsidR="003941E9" w:rsidRPr="00520170">
        <w:t>Такі</w:t>
      </w:r>
      <w:r w:rsidR="00B01D0D" w:rsidRPr="00520170">
        <w:t xml:space="preserve"> </w:t>
      </w:r>
      <w:r w:rsidR="007667A1" w:rsidRPr="00520170">
        <w:t>розрахунки проводяться також шляхом внесення готівки до надавачів платіжних послуг для подальшого переказу коштів на рахунки суб’єктів господарювання.</w:t>
      </w:r>
      <w:r w:rsidRPr="00520170">
        <w:rPr>
          <w:lang w:eastAsia="ru-RU"/>
        </w:rPr>
        <w:t>”;</w:t>
      </w:r>
    </w:p>
    <w:p w14:paraId="26B9942D" w14:textId="77777777" w:rsidR="00EB0714" w:rsidRPr="00520170" w:rsidRDefault="00EB0714" w:rsidP="00E8083B">
      <w:pPr>
        <w:ind w:firstLine="567"/>
        <w:rPr>
          <w:lang w:eastAsia="ru-RU"/>
        </w:rPr>
      </w:pPr>
    </w:p>
    <w:p w14:paraId="38763A8B" w14:textId="1266DEE4" w:rsidR="00E8083B" w:rsidRPr="00520170" w:rsidRDefault="00EB0714" w:rsidP="00E8083B">
      <w:pPr>
        <w:ind w:firstLine="567"/>
        <w:rPr>
          <w:lang w:eastAsia="ru-RU"/>
        </w:rPr>
      </w:pPr>
      <w:r w:rsidRPr="00520170">
        <w:rPr>
          <w:lang w:eastAsia="ru-RU"/>
        </w:rPr>
        <w:t xml:space="preserve">2) </w:t>
      </w:r>
      <w:r w:rsidR="00A96E4D">
        <w:rPr>
          <w:lang w:eastAsia="ru-RU"/>
        </w:rPr>
        <w:t>в</w:t>
      </w:r>
      <w:r w:rsidR="00E8083B" w:rsidRPr="00520170">
        <w:rPr>
          <w:lang w:eastAsia="ru-RU"/>
        </w:rPr>
        <w:t xml:space="preserve"> абзаці </w:t>
      </w:r>
      <w:r w:rsidR="00D20605" w:rsidRPr="00520170">
        <w:rPr>
          <w:lang w:eastAsia="ru-RU"/>
        </w:rPr>
        <w:t xml:space="preserve">четвертому </w:t>
      </w:r>
      <w:r w:rsidR="00E8083B" w:rsidRPr="00520170">
        <w:rPr>
          <w:lang w:eastAsia="ru-RU"/>
        </w:rPr>
        <w:t>пункту 6 слова “банку (філії, відділення)”</w:t>
      </w:r>
      <w:r w:rsidR="00D20605" w:rsidRPr="00520170">
        <w:rPr>
          <w:lang w:eastAsia="ru-RU"/>
        </w:rPr>
        <w:t>,</w:t>
      </w:r>
      <w:r w:rsidR="00E8083B" w:rsidRPr="00520170">
        <w:rPr>
          <w:lang w:eastAsia="ru-RU"/>
        </w:rPr>
        <w:t xml:space="preserve"> “банку (філії, відділенню) для вивчення” замінити</w:t>
      </w:r>
      <w:r w:rsidR="00D20605" w:rsidRPr="00520170">
        <w:rPr>
          <w:lang w:eastAsia="ru-RU"/>
        </w:rPr>
        <w:t xml:space="preserve"> відповідно</w:t>
      </w:r>
      <w:r w:rsidR="00E8083B" w:rsidRPr="00520170">
        <w:rPr>
          <w:lang w:eastAsia="ru-RU"/>
        </w:rPr>
        <w:t xml:space="preserve"> словами “надавачів платіжних послуг”</w:t>
      </w:r>
      <w:r w:rsidR="002F06E0" w:rsidRPr="00520170">
        <w:rPr>
          <w:lang w:eastAsia="ru-RU"/>
        </w:rPr>
        <w:t>,</w:t>
      </w:r>
      <w:r w:rsidR="00E8083B" w:rsidRPr="00520170">
        <w:rPr>
          <w:lang w:eastAsia="ru-RU"/>
        </w:rPr>
        <w:t xml:space="preserve"> </w:t>
      </w:r>
      <w:r w:rsidR="004039AB" w:rsidRPr="00520170">
        <w:rPr>
          <w:lang w:eastAsia="ru-RU"/>
        </w:rPr>
        <w:t>“надавачам платіжних послуг для здійснення заходів належної перевірки</w:t>
      </w:r>
      <w:r w:rsidR="00E8083B" w:rsidRPr="00520170">
        <w:rPr>
          <w:lang w:eastAsia="ru-RU"/>
        </w:rPr>
        <w:t xml:space="preserve">”; </w:t>
      </w:r>
    </w:p>
    <w:p w14:paraId="2AB0C92E" w14:textId="77777777" w:rsidR="005B54F2" w:rsidRPr="00520170" w:rsidRDefault="005B54F2" w:rsidP="00E8083B">
      <w:pPr>
        <w:ind w:firstLine="567"/>
        <w:rPr>
          <w:lang w:eastAsia="ru-RU"/>
        </w:rPr>
      </w:pPr>
    </w:p>
    <w:p w14:paraId="5B22A5A7" w14:textId="10BAC20C" w:rsidR="007667A1" w:rsidRPr="00520170" w:rsidRDefault="00EB0714" w:rsidP="00E8083B">
      <w:pPr>
        <w:ind w:firstLine="567"/>
        <w:rPr>
          <w:lang w:eastAsia="ru-RU"/>
        </w:rPr>
      </w:pPr>
      <w:r w:rsidRPr="00520170">
        <w:rPr>
          <w:lang w:eastAsia="ru-RU"/>
        </w:rPr>
        <w:t xml:space="preserve">3) </w:t>
      </w:r>
      <w:r w:rsidR="00E8083B" w:rsidRPr="00520170">
        <w:rPr>
          <w:lang w:eastAsia="ru-RU"/>
        </w:rPr>
        <w:t xml:space="preserve">підпункт 5 пункту 8 </w:t>
      </w:r>
      <w:r w:rsidR="007667A1" w:rsidRPr="00520170">
        <w:rPr>
          <w:lang w:eastAsia="ru-RU"/>
        </w:rPr>
        <w:t xml:space="preserve">викласти </w:t>
      </w:r>
      <w:r w:rsidR="00A96E4D">
        <w:rPr>
          <w:lang w:eastAsia="ru-RU"/>
        </w:rPr>
        <w:t>в</w:t>
      </w:r>
      <w:r w:rsidR="00A96E4D" w:rsidRPr="00520170">
        <w:rPr>
          <w:lang w:eastAsia="ru-RU"/>
        </w:rPr>
        <w:t xml:space="preserve"> </w:t>
      </w:r>
      <w:r w:rsidR="007667A1" w:rsidRPr="00520170">
        <w:rPr>
          <w:lang w:eastAsia="ru-RU"/>
        </w:rPr>
        <w:t>такій редакції:</w:t>
      </w:r>
    </w:p>
    <w:p w14:paraId="5B39DD7F" w14:textId="664891F9" w:rsidR="00E8083B" w:rsidRPr="00520170" w:rsidRDefault="00E8083B" w:rsidP="00E8083B">
      <w:pPr>
        <w:ind w:firstLine="567"/>
        <w:rPr>
          <w:lang w:eastAsia="ru-RU"/>
        </w:rPr>
      </w:pPr>
      <w:r w:rsidRPr="00520170">
        <w:rPr>
          <w:lang w:eastAsia="ru-RU"/>
        </w:rPr>
        <w:t>“</w:t>
      </w:r>
      <w:r w:rsidR="00993E4E" w:rsidRPr="00520170">
        <w:rPr>
          <w:lang w:eastAsia="ru-RU"/>
        </w:rPr>
        <w:t xml:space="preserve">5) </w:t>
      </w:r>
      <w:r w:rsidR="00993E4E" w:rsidRPr="00520170">
        <w:t>використання готівкових коштів з фондів, створених на виконання частини третьої статті 24 Закону України “Про Національне антикорупційне бюро України”, частини другої статті 32 Закону України “Про Бюро економічної безпеки України” та частини четвертої статті 17 Закону України “Про Державне бюро розслідувань;</w:t>
      </w:r>
      <w:r w:rsidRPr="00520170">
        <w:rPr>
          <w:lang w:eastAsia="ru-RU"/>
        </w:rPr>
        <w:t>”;</w:t>
      </w:r>
    </w:p>
    <w:p w14:paraId="55F32535" w14:textId="77777777" w:rsidR="00EB0714" w:rsidRPr="00520170" w:rsidRDefault="00EB0714" w:rsidP="00E8083B">
      <w:pPr>
        <w:ind w:firstLine="567"/>
        <w:rPr>
          <w:lang w:eastAsia="ru-RU"/>
        </w:rPr>
      </w:pPr>
    </w:p>
    <w:p w14:paraId="6BE73473" w14:textId="0AC608DF" w:rsidR="0076293E" w:rsidRPr="00520170" w:rsidRDefault="00EB0714" w:rsidP="00E8083B">
      <w:pPr>
        <w:ind w:firstLine="567"/>
        <w:rPr>
          <w:lang w:eastAsia="ru-RU"/>
        </w:rPr>
      </w:pPr>
      <w:r w:rsidRPr="00520170">
        <w:rPr>
          <w:lang w:eastAsia="ru-RU"/>
        </w:rPr>
        <w:t>4)</w:t>
      </w:r>
      <w:r w:rsidR="008F60E0" w:rsidRPr="00520170">
        <w:rPr>
          <w:lang w:eastAsia="ru-RU"/>
        </w:rPr>
        <w:t xml:space="preserve"> </w:t>
      </w:r>
      <w:r w:rsidR="006B7E96" w:rsidRPr="00520170">
        <w:rPr>
          <w:lang w:val="ru-RU" w:eastAsia="ru-RU"/>
        </w:rPr>
        <w:t xml:space="preserve"> </w:t>
      </w:r>
      <w:r w:rsidR="00F66C42" w:rsidRPr="00520170">
        <w:rPr>
          <w:lang w:eastAsia="ru-RU"/>
        </w:rPr>
        <w:t xml:space="preserve">абзац перший </w:t>
      </w:r>
      <w:r w:rsidR="00B444D1" w:rsidRPr="00520170">
        <w:rPr>
          <w:lang w:eastAsia="ru-RU"/>
        </w:rPr>
        <w:t>пункт</w:t>
      </w:r>
      <w:r w:rsidR="00F66C42" w:rsidRPr="00520170">
        <w:rPr>
          <w:lang w:eastAsia="ru-RU"/>
        </w:rPr>
        <w:t>у</w:t>
      </w:r>
      <w:r w:rsidR="00B444D1" w:rsidRPr="00520170">
        <w:rPr>
          <w:lang w:eastAsia="ru-RU"/>
        </w:rPr>
        <w:t xml:space="preserve"> 9 викласти </w:t>
      </w:r>
      <w:r w:rsidR="00A96E4D">
        <w:rPr>
          <w:lang w:eastAsia="ru-RU"/>
        </w:rPr>
        <w:t>в</w:t>
      </w:r>
      <w:r w:rsidR="00B444D1" w:rsidRPr="00520170">
        <w:rPr>
          <w:lang w:eastAsia="ru-RU"/>
        </w:rPr>
        <w:t xml:space="preserve"> такій редакції</w:t>
      </w:r>
      <w:r w:rsidR="00E8083B" w:rsidRPr="00520170">
        <w:rPr>
          <w:lang w:eastAsia="ru-RU"/>
        </w:rPr>
        <w:t>:</w:t>
      </w:r>
    </w:p>
    <w:p w14:paraId="1FD40396" w14:textId="40E47277" w:rsidR="00B444D1" w:rsidRPr="00520170" w:rsidRDefault="00B444D1" w:rsidP="00E8083B">
      <w:pPr>
        <w:ind w:firstLine="567"/>
        <w:rPr>
          <w:lang w:eastAsia="ru-RU"/>
        </w:rPr>
      </w:pPr>
      <w:r w:rsidRPr="00520170">
        <w:rPr>
          <w:lang w:eastAsia="ru-RU"/>
        </w:rPr>
        <w:t>“</w:t>
      </w:r>
      <w:r w:rsidR="007667A1" w:rsidRPr="00520170">
        <w:rPr>
          <w:lang w:eastAsia="ru-RU"/>
        </w:rPr>
        <w:t xml:space="preserve">9. </w:t>
      </w:r>
      <w:r w:rsidR="009C5DEB" w:rsidRPr="00520170">
        <w:rPr>
          <w:lang w:eastAsia="ru-RU"/>
        </w:rPr>
        <w:t xml:space="preserve">Підприємство/відокремлений підрозділ підприємства/фізична особа-підприємець, яке/який/яка відповідно до законодавства України приймає до обслуговування платіжні інструменти з метою проведення оплати вартості товарів чи послуг з використанням платіжного термінала [включно зі з’єднаним </w:t>
      </w:r>
      <w:r w:rsidR="009C5DEB" w:rsidRPr="00520170">
        <w:rPr>
          <w:lang w:eastAsia="ru-RU"/>
        </w:rPr>
        <w:lastRenderedPageBreak/>
        <w:t xml:space="preserve">чи поєднаним із реєстратором розрахункових операцій (далі </w:t>
      </w:r>
      <w:r w:rsidR="00993E4E" w:rsidRPr="00520170">
        <w:rPr>
          <w:lang w:eastAsia="ru-RU"/>
        </w:rPr>
        <w:t xml:space="preserve">– </w:t>
      </w:r>
      <w:r w:rsidR="009C5DEB" w:rsidRPr="00520170">
        <w:rPr>
          <w:lang w:eastAsia="ru-RU"/>
        </w:rPr>
        <w:t>РРО)/програмним РРО], має право за рахунок готівкової виручки або готівки, отриманої в надавача платіжних послуг, надавати держателю платіжного інструменту (якщо така послуга передбачена правилами відповідної платіжної системи/</w:t>
      </w:r>
      <w:proofErr w:type="spellStart"/>
      <w:r w:rsidR="009C5DEB" w:rsidRPr="00520170">
        <w:rPr>
          <w:lang w:eastAsia="ru-RU"/>
        </w:rPr>
        <w:t>еквайром</w:t>
      </w:r>
      <w:proofErr w:type="spellEnd"/>
      <w:r w:rsidR="009C5DEB" w:rsidRPr="00520170">
        <w:rPr>
          <w:lang w:eastAsia="ru-RU"/>
        </w:rPr>
        <w:t xml:space="preserve">) послуги з видачі готівки з друкуванням розрахункового документа, а також, але не виключно, із надсиланням електронного розрахункового документа на наданий такою особою абонентський номер або адресу електронної пошти та відображенням таких операцій у книзі обліку розрахункових операцій (далі </w:t>
      </w:r>
      <w:r w:rsidR="00EC338C">
        <w:rPr>
          <w:lang w:eastAsia="ru-RU"/>
        </w:rPr>
        <w:t>−</w:t>
      </w:r>
      <w:r w:rsidR="00EC338C" w:rsidRPr="00520170">
        <w:rPr>
          <w:lang w:eastAsia="ru-RU"/>
        </w:rPr>
        <w:t xml:space="preserve"> </w:t>
      </w:r>
      <w:r w:rsidR="009C5DEB" w:rsidRPr="00520170">
        <w:rPr>
          <w:lang w:eastAsia="ru-RU"/>
        </w:rPr>
        <w:t>КОРО) або розрахунковій книжці (дал</w:t>
      </w:r>
      <w:r w:rsidR="00993E4E" w:rsidRPr="00520170">
        <w:rPr>
          <w:lang w:eastAsia="ru-RU"/>
        </w:rPr>
        <w:t xml:space="preserve">і – </w:t>
      </w:r>
      <w:r w:rsidR="009C5DEB" w:rsidRPr="00520170">
        <w:rPr>
          <w:lang w:eastAsia="ru-RU"/>
        </w:rPr>
        <w:t xml:space="preserve">РК) у разі їх використання. Підприємство/відокремлений підрозділ підприємства/фізична особа-підприємець під час надання держателю платіжного інструменту послуги з видачі готівки  зобов’язане/зобов’язаний/зобов’язана видавати лише придатні до обігу платіжні банкноти та монети, які не викликають сумніву в їх справжності та </w:t>
      </w:r>
      <w:proofErr w:type="spellStart"/>
      <w:r w:rsidR="009C5DEB" w:rsidRPr="00520170">
        <w:rPr>
          <w:lang w:eastAsia="ru-RU"/>
        </w:rPr>
        <w:t>платіжності</w:t>
      </w:r>
      <w:proofErr w:type="spellEnd"/>
      <w:r w:rsidR="009C5DEB" w:rsidRPr="00520170">
        <w:rPr>
          <w:lang w:eastAsia="ru-RU"/>
        </w:rPr>
        <w:t>.</w:t>
      </w:r>
      <w:r w:rsidR="00F66C42" w:rsidRPr="00520170">
        <w:rPr>
          <w:lang w:eastAsia="ru-RU"/>
        </w:rPr>
        <w:t>”</w:t>
      </w:r>
      <w:r w:rsidR="003D6366" w:rsidRPr="00520170">
        <w:rPr>
          <w:lang w:eastAsia="ru-RU"/>
        </w:rPr>
        <w:t>;</w:t>
      </w:r>
    </w:p>
    <w:p w14:paraId="239A42DF" w14:textId="77777777" w:rsidR="00EB0714" w:rsidRPr="00520170" w:rsidRDefault="00EB0714" w:rsidP="00E8083B">
      <w:pPr>
        <w:ind w:firstLine="567"/>
        <w:rPr>
          <w:lang w:eastAsia="ru-RU"/>
        </w:rPr>
      </w:pPr>
    </w:p>
    <w:p w14:paraId="70043362" w14:textId="1D3D0443" w:rsidR="00F31D7C" w:rsidRPr="00520170" w:rsidRDefault="00EB0714" w:rsidP="003D6366">
      <w:pPr>
        <w:ind w:firstLine="567"/>
        <w:rPr>
          <w:lang w:eastAsia="ru-RU"/>
        </w:rPr>
      </w:pPr>
      <w:r w:rsidRPr="00520170">
        <w:rPr>
          <w:lang w:eastAsia="ru-RU"/>
        </w:rPr>
        <w:t xml:space="preserve">5) </w:t>
      </w:r>
      <w:r w:rsidR="00E8083B" w:rsidRPr="00520170">
        <w:rPr>
          <w:lang w:eastAsia="ru-RU"/>
        </w:rPr>
        <w:t>пункт</w:t>
      </w:r>
      <w:r w:rsidR="00A5106A" w:rsidRPr="00520170">
        <w:rPr>
          <w:lang w:eastAsia="ru-RU"/>
        </w:rPr>
        <w:t>и</w:t>
      </w:r>
      <w:r w:rsidR="00E8083B" w:rsidRPr="00520170">
        <w:rPr>
          <w:lang w:eastAsia="ru-RU"/>
        </w:rPr>
        <w:t xml:space="preserve"> 15</w:t>
      </w:r>
      <w:r w:rsidR="00A5106A" w:rsidRPr="00520170">
        <w:rPr>
          <w:lang w:eastAsia="ru-RU"/>
        </w:rPr>
        <w:t xml:space="preserve">, 16 викласти </w:t>
      </w:r>
      <w:r w:rsidR="00A96E4D">
        <w:rPr>
          <w:lang w:eastAsia="ru-RU"/>
        </w:rPr>
        <w:t>в</w:t>
      </w:r>
      <w:r w:rsidR="00A5106A" w:rsidRPr="00520170">
        <w:rPr>
          <w:lang w:eastAsia="ru-RU"/>
        </w:rPr>
        <w:t xml:space="preserve"> такій редакції</w:t>
      </w:r>
      <w:r w:rsidR="00E8083B" w:rsidRPr="00520170">
        <w:rPr>
          <w:lang w:eastAsia="ru-RU"/>
        </w:rPr>
        <w:t>:</w:t>
      </w:r>
    </w:p>
    <w:p w14:paraId="6C3436A7" w14:textId="155E08EA" w:rsidR="00A5106A" w:rsidRPr="00520170" w:rsidRDefault="00F206BE" w:rsidP="00A5106A">
      <w:pPr>
        <w:ind w:firstLine="567"/>
        <w:rPr>
          <w:lang w:eastAsia="ru-RU"/>
        </w:rPr>
      </w:pPr>
      <w:r w:rsidRPr="00520170">
        <w:rPr>
          <w:lang w:eastAsia="ru-RU"/>
        </w:rPr>
        <w:t>“</w:t>
      </w:r>
      <w:r w:rsidR="00A5106A" w:rsidRPr="00520170">
        <w:rPr>
          <w:lang w:eastAsia="ru-RU"/>
        </w:rPr>
        <w:t xml:space="preserve">15. Установи/підприємства мають право тримати в позаробочий час у своїх касах готівкову виручку (готівку) у межах, що не перевищують самостійно встановлений ними ліміт каси. Готівкова виручка (готівка), що перевищує самостійно встановлений ліміт каси, здається установами/підприємствами для її зарахування на власні рахунки таких установ/підприємств, відкриті ними </w:t>
      </w:r>
      <w:r w:rsidR="00EC338C">
        <w:rPr>
          <w:lang w:eastAsia="ru-RU"/>
        </w:rPr>
        <w:t>в</w:t>
      </w:r>
      <w:r w:rsidR="00EC338C" w:rsidRPr="00520170">
        <w:rPr>
          <w:lang w:eastAsia="ru-RU"/>
        </w:rPr>
        <w:t xml:space="preserve"> </w:t>
      </w:r>
      <w:r w:rsidR="00A5106A" w:rsidRPr="00520170">
        <w:rPr>
          <w:lang w:eastAsia="ru-RU"/>
        </w:rPr>
        <w:t xml:space="preserve">надавачів платіжних послуг. Відокремлені підрозділи установ/підприємств мають право здавати готівкову виручку (готівку) безпосередньо до кас юридичних осіб або надавачів платіжних послуг, комерційних агентів із приймання готівки для її переказу і зарахування на відповідні рахунки юридичних осіб. </w:t>
      </w:r>
    </w:p>
    <w:p w14:paraId="2A218ED8" w14:textId="77777777" w:rsidR="00F206BE" w:rsidRPr="00520170" w:rsidRDefault="00A5106A" w:rsidP="00A5106A">
      <w:pPr>
        <w:ind w:firstLine="567"/>
        <w:rPr>
          <w:lang w:eastAsia="ru-RU"/>
        </w:rPr>
      </w:pPr>
      <w:r w:rsidRPr="00520170">
        <w:rPr>
          <w:lang w:eastAsia="ru-RU"/>
        </w:rPr>
        <w:t>Підприємство</w:t>
      </w:r>
      <w:r w:rsidR="004D0F19" w:rsidRPr="00520170">
        <w:rPr>
          <w:lang w:eastAsia="ru-RU"/>
        </w:rPr>
        <w:t xml:space="preserve">, яке має </w:t>
      </w:r>
      <w:r w:rsidR="007A2BF5" w:rsidRPr="00520170">
        <w:rPr>
          <w:lang w:eastAsia="ru-RU"/>
        </w:rPr>
        <w:t>щонайменше шість</w:t>
      </w:r>
      <w:r w:rsidR="004D0F19" w:rsidRPr="00520170">
        <w:rPr>
          <w:lang w:eastAsia="ru-RU"/>
        </w:rPr>
        <w:t xml:space="preserve"> кас для обслуговування клієнтів</w:t>
      </w:r>
      <w:r w:rsidRPr="00520170">
        <w:rPr>
          <w:lang w:eastAsia="ru-RU"/>
        </w:rPr>
        <w:t xml:space="preserve"> </w:t>
      </w:r>
      <w:r w:rsidR="0059297C" w:rsidRPr="00520170">
        <w:rPr>
          <w:lang w:eastAsia="ru-RU"/>
        </w:rPr>
        <w:t>у торговому</w:t>
      </w:r>
      <w:r w:rsidR="004D0F19" w:rsidRPr="00520170">
        <w:rPr>
          <w:lang w:eastAsia="ru-RU"/>
        </w:rPr>
        <w:t xml:space="preserve"> залі, </w:t>
      </w:r>
      <w:r w:rsidRPr="00520170">
        <w:rPr>
          <w:lang w:eastAsia="ru-RU"/>
        </w:rPr>
        <w:t>має право здійснювати збір готівкової виручки (готівки), отриманої від реалізації продукції (товарів, робіт, послуг), шляхом використання комплексу технічних та програмних засобів, розташованих у місці здійснення готівкових розрахунків, які б забезпечували безпечне передавання коштів з робочих місць касирів до спеціально обладнаного приміщення для зберігання такої готівки, подальшого її здавання до кас банків виключно через відповідні служби/підприємства, яким згідно із законодавством України надано право на інкасацію коштів, перевезення валютних та інших цінностей для зарахування на власні рахунки.</w:t>
      </w:r>
    </w:p>
    <w:p w14:paraId="6471B6C7" w14:textId="77777777" w:rsidR="00E8083B" w:rsidRPr="00520170" w:rsidRDefault="00E8083B" w:rsidP="00233D3E">
      <w:pPr>
        <w:rPr>
          <w:lang w:eastAsia="ru-RU"/>
        </w:rPr>
      </w:pPr>
    </w:p>
    <w:p w14:paraId="797DE6FA" w14:textId="77777777" w:rsidR="00E8083B" w:rsidRPr="00520170" w:rsidRDefault="00E8083B" w:rsidP="00E8083B">
      <w:pPr>
        <w:ind w:firstLine="567"/>
        <w:rPr>
          <w:lang w:eastAsia="ru-RU"/>
        </w:rPr>
      </w:pPr>
      <w:r w:rsidRPr="00520170">
        <w:rPr>
          <w:lang w:eastAsia="ru-RU"/>
        </w:rPr>
        <w:t xml:space="preserve">16. </w:t>
      </w:r>
      <w:r w:rsidR="003E5F56" w:rsidRPr="00520170">
        <w:rPr>
          <w:lang w:eastAsia="ru-RU"/>
        </w:rPr>
        <w:t xml:space="preserve">Суб’єкти господарювання здають готівкову виручку (готівку) для виконання платіжних операцій до банків, </w:t>
      </w:r>
      <w:r w:rsidR="002049CF" w:rsidRPr="00520170">
        <w:rPr>
          <w:lang w:eastAsia="ru-RU"/>
        </w:rPr>
        <w:t xml:space="preserve">юридичних осіб, що здійснюють операції з оброблення та зберігання готівки, </w:t>
      </w:r>
      <w:r w:rsidR="003E5F56" w:rsidRPr="00520170">
        <w:rPr>
          <w:lang w:eastAsia="ru-RU"/>
        </w:rPr>
        <w:t xml:space="preserve">національних операторів, небанківських надавачів платіжних послуг, комерційних агентів із приймання готівки. Готівкова виручка (готівка) здається суб’єктами господарювання для зарахування на відповідний рахунок, відкритий ними у будь-якого з надавачів </w:t>
      </w:r>
      <w:r w:rsidR="003E5F56" w:rsidRPr="00520170">
        <w:rPr>
          <w:lang w:eastAsia="ru-RU"/>
        </w:rPr>
        <w:lastRenderedPageBreak/>
        <w:t>платіжних послуг, що мають право відкривати рахунки користувачам відповідно до Закону України “Про платіжні послуги”.</w:t>
      </w:r>
    </w:p>
    <w:p w14:paraId="6E12FA3B" w14:textId="77777777" w:rsidR="003E5F56" w:rsidRPr="00520170" w:rsidRDefault="003E5F56" w:rsidP="00E8083B">
      <w:pPr>
        <w:ind w:firstLine="567"/>
        <w:rPr>
          <w:lang w:eastAsia="ru-RU"/>
        </w:rPr>
      </w:pPr>
      <w:r w:rsidRPr="007439BB">
        <w:rPr>
          <w:lang w:eastAsia="ru-RU"/>
        </w:rPr>
        <w:t>Готівкова виручка (готівка)</w:t>
      </w:r>
      <w:r w:rsidRPr="003D0B67">
        <w:rPr>
          <w:color w:val="FF0000"/>
          <w:lang w:eastAsia="ru-RU"/>
        </w:rPr>
        <w:t xml:space="preserve"> </w:t>
      </w:r>
      <w:r w:rsidRPr="00520170">
        <w:rPr>
          <w:lang w:eastAsia="ru-RU"/>
        </w:rPr>
        <w:t xml:space="preserve">здається суб’єктами господарювання самостійно (з урахуванням ризиків щодо безпеки перевезення та здавання готівки) або через відповідні служби/підприємства, яким згідно із законодавством України надано право на інкасацію коштів, перевезення валютних та інших цінностей. </w:t>
      </w:r>
    </w:p>
    <w:p w14:paraId="69169B8C" w14:textId="17652614" w:rsidR="003E5F56" w:rsidRPr="00520170" w:rsidRDefault="003E5F56" w:rsidP="00E8083B">
      <w:pPr>
        <w:ind w:firstLine="567"/>
        <w:rPr>
          <w:lang w:eastAsia="ru-RU"/>
        </w:rPr>
      </w:pPr>
      <w:r w:rsidRPr="00520170">
        <w:rPr>
          <w:lang w:eastAsia="ru-RU"/>
        </w:rPr>
        <w:t>Комерційні агенти банків здають</w:t>
      </w:r>
      <w:r w:rsidR="007439BB" w:rsidRPr="007439BB">
        <w:rPr>
          <w:color w:val="FF0000"/>
          <w:lang w:eastAsia="ru-RU"/>
        </w:rPr>
        <w:t xml:space="preserve"> </w:t>
      </w:r>
      <w:r w:rsidR="007439BB" w:rsidRPr="00136637">
        <w:rPr>
          <w:lang w:eastAsia="ru-RU"/>
        </w:rPr>
        <w:t>готівкову виручку</w:t>
      </w:r>
      <w:r w:rsidRPr="007439BB">
        <w:rPr>
          <w:lang w:eastAsia="ru-RU"/>
        </w:rPr>
        <w:t xml:space="preserve"> (</w:t>
      </w:r>
      <w:r w:rsidR="007439BB" w:rsidRPr="00136637">
        <w:rPr>
          <w:lang w:eastAsia="ru-RU"/>
        </w:rPr>
        <w:t>готівку</w:t>
      </w:r>
      <w:r w:rsidRPr="007439BB">
        <w:rPr>
          <w:lang w:eastAsia="ru-RU"/>
        </w:rPr>
        <w:t xml:space="preserve">), </w:t>
      </w:r>
      <w:r w:rsidRPr="00520170">
        <w:rPr>
          <w:lang w:eastAsia="ru-RU"/>
        </w:rPr>
        <w:t xml:space="preserve">отриману із застосуванням платіжних пристроїв та через пункти надання фінансових послуг, до банків через відповідні служби/підприємства, яким згідно із законодавством України надано право на інкасацію коштів, перевезення валютних та інших цінностей. </w:t>
      </w:r>
    </w:p>
    <w:p w14:paraId="235A3C47" w14:textId="079CFEC0" w:rsidR="002049CF" w:rsidRPr="00520170" w:rsidRDefault="003E5F56" w:rsidP="00E8083B">
      <w:pPr>
        <w:ind w:firstLine="567"/>
        <w:rPr>
          <w:lang w:eastAsia="ru-RU"/>
        </w:rPr>
      </w:pPr>
      <w:r w:rsidRPr="00520170">
        <w:rPr>
          <w:lang w:eastAsia="ru-RU"/>
        </w:rPr>
        <w:t xml:space="preserve">Небанківські надавачі платіжних послуг та їх комерційні агенти здають </w:t>
      </w:r>
      <w:r w:rsidR="007439BB" w:rsidRPr="00412E2D">
        <w:rPr>
          <w:lang w:eastAsia="ru-RU"/>
        </w:rPr>
        <w:t>готівкову виручку</w:t>
      </w:r>
      <w:r w:rsidR="007439BB" w:rsidRPr="00412E2D" w:rsidDel="007439BB">
        <w:rPr>
          <w:lang w:eastAsia="ru-RU"/>
        </w:rPr>
        <w:t xml:space="preserve"> </w:t>
      </w:r>
      <w:r w:rsidRPr="007439BB">
        <w:rPr>
          <w:lang w:eastAsia="ru-RU"/>
        </w:rPr>
        <w:t>(</w:t>
      </w:r>
      <w:r w:rsidR="007439BB" w:rsidRPr="00412E2D">
        <w:rPr>
          <w:lang w:eastAsia="ru-RU"/>
        </w:rPr>
        <w:t>готівку</w:t>
      </w:r>
      <w:r w:rsidRPr="00520170">
        <w:rPr>
          <w:lang w:eastAsia="ru-RU"/>
        </w:rPr>
        <w:t>), отриману через платіжні пристрої та пункти надання фінансових послуг, до банків через відповідні служби/підприємства, яким згідно із законодавством України надано право на інкасацію коштів, перевезення валютних та інших цінностей для подальшого зарахування на розрахунковий рахунок небанківського надавача платіжних послуг. Небанківські надавачі платіжних послуг, які, крім операцій з приймання готівки для виконання платіжних операцій, здійснюють видачу переказів готівкою, зобов’язані забезпечити здавання</w:t>
      </w:r>
      <w:r w:rsidR="007A2BF5" w:rsidRPr="00520170">
        <w:rPr>
          <w:lang w:eastAsia="ru-RU"/>
        </w:rPr>
        <w:t xml:space="preserve"> </w:t>
      </w:r>
      <w:r w:rsidR="009B41C5" w:rsidRPr="00520170">
        <w:rPr>
          <w:lang w:eastAsia="ru-RU"/>
        </w:rPr>
        <w:t>для зарахуван</w:t>
      </w:r>
      <w:r w:rsidR="007A2BF5" w:rsidRPr="00520170">
        <w:rPr>
          <w:lang w:eastAsia="ru-RU"/>
        </w:rPr>
        <w:t>ня</w:t>
      </w:r>
      <w:r w:rsidRPr="00520170">
        <w:rPr>
          <w:lang w:eastAsia="ru-RU"/>
        </w:rPr>
        <w:t xml:space="preserve"> на такі рахунки готівки в сумі перевищення прийнятої для подальшого виконання платіжних операцій готівки над виданою за переказами готівкою.</w:t>
      </w:r>
    </w:p>
    <w:p w14:paraId="57C73147" w14:textId="155699ED" w:rsidR="00545737" w:rsidRPr="00520170" w:rsidRDefault="002049CF" w:rsidP="00E8083B">
      <w:pPr>
        <w:ind w:firstLine="567"/>
        <w:rPr>
          <w:lang w:eastAsia="ru-RU"/>
        </w:rPr>
      </w:pPr>
      <w:r w:rsidRPr="00520170">
        <w:rPr>
          <w:lang w:eastAsia="ru-RU"/>
        </w:rPr>
        <w:t xml:space="preserve">Комерційні агенти банків, </w:t>
      </w:r>
      <w:r w:rsidR="00545737" w:rsidRPr="00520170">
        <w:rPr>
          <w:lang w:eastAsia="ru-RU"/>
        </w:rPr>
        <w:t xml:space="preserve">небанківські надавачі платіжних послуг та їх комерційні агенти мають право здавати </w:t>
      </w:r>
      <w:r w:rsidR="007439BB" w:rsidRPr="00520170">
        <w:rPr>
          <w:lang w:eastAsia="ru-RU"/>
        </w:rPr>
        <w:t>готівкову виручку</w:t>
      </w:r>
      <w:r w:rsidR="007439BB" w:rsidRPr="00520170" w:rsidDel="007439BB">
        <w:rPr>
          <w:lang w:eastAsia="ru-RU"/>
        </w:rPr>
        <w:t xml:space="preserve"> </w:t>
      </w:r>
      <w:r w:rsidR="00545737" w:rsidRPr="00520170">
        <w:rPr>
          <w:lang w:eastAsia="ru-RU"/>
        </w:rPr>
        <w:t>(</w:t>
      </w:r>
      <w:r w:rsidR="007439BB" w:rsidRPr="00520170">
        <w:rPr>
          <w:lang w:eastAsia="ru-RU"/>
        </w:rPr>
        <w:t>готівку</w:t>
      </w:r>
      <w:r w:rsidR="00545737" w:rsidRPr="00520170">
        <w:rPr>
          <w:lang w:eastAsia="ru-RU"/>
        </w:rPr>
        <w:t>), отриману через платіжні пристрої</w:t>
      </w:r>
      <w:r w:rsidR="00AF485F" w:rsidRPr="00520170">
        <w:rPr>
          <w:lang w:eastAsia="ru-RU"/>
        </w:rPr>
        <w:t xml:space="preserve"> та пункти надання фінансових послуг</w:t>
      </w:r>
      <w:r w:rsidR="00545737" w:rsidRPr="00520170">
        <w:rPr>
          <w:lang w:eastAsia="ru-RU"/>
        </w:rPr>
        <w:t xml:space="preserve">, самостійно </w:t>
      </w:r>
      <w:r w:rsidR="00177B1C" w:rsidRPr="00520170">
        <w:rPr>
          <w:lang w:eastAsia="ru-RU"/>
        </w:rPr>
        <w:t xml:space="preserve">до банку </w:t>
      </w:r>
      <w:r w:rsidR="00545737" w:rsidRPr="00520170">
        <w:rPr>
          <w:lang w:eastAsia="ru-RU"/>
        </w:rPr>
        <w:t xml:space="preserve">за умови </w:t>
      </w:r>
      <w:r w:rsidR="00177B1C" w:rsidRPr="00520170">
        <w:rPr>
          <w:lang w:eastAsia="ru-RU"/>
        </w:rPr>
        <w:t xml:space="preserve">одночасного </w:t>
      </w:r>
      <w:r w:rsidR="00545737" w:rsidRPr="00520170">
        <w:rPr>
          <w:lang w:eastAsia="ru-RU"/>
        </w:rPr>
        <w:t>дотримання таких вимог:</w:t>
      </w:r>
    </w:p>
    <w:p w14:paraId="0FBA678F" w14:textId="77777777" w:rsidR="00545737" w:rsidRPr="00520170" w:rsidRDefault="00545737" w:rsidP="00E8083B">
      <w:pPr>
        <w:ind w:firstLine="567"/>
        <w:rPr>
          <w:lang w:eastAsia="ru-RU"/>
        </w:rPr>
      </w:pPr>
    </w:p>
    <w:p w14:paraId="7D23889A" w14:textId="5CFB99CD" w:rsidR="00545737" w:rsidRPr="00520170" w:rsidRDefault="00545737" w:rsidP="00E8083B">
      <w:pPr>
        <w:ind w:firstLine="567"/>
        <w:rPr>
          <w:lang w:eastAsia="ru-RU"/>
        </w:rPr>
      </w:pPr>
      <w:r w:rsidRPr="00520170">
        <w:rPr>
          <w:lang w:eastAsia="ru-RU"/>
        </w:rPr>
        <w:t xml:space="preserve">1) розмір </w:t>
      </w:r>
      <w:r w:rsidR="007439BB" w:rsidRPr="00520170">
        <w:rPr>
          <w:lang w:eastAsia="ru-RU"/>
        </w:rPr>
        <w:t>готівкової виручки</w:t>
      </w:r>
      <w:r w:rsidR="007439BB" w:rsidRPr="00520170" w:rsidDel="007439BB">
        <w:rPr>
          <w:lang w:eastAsia="ru-RU"/>
        </w:rPr>
        <w:t xml:space="preserve"> </w:t>
      </w:r>
      <w:r w:rsidRPr="00520170">
        <w:rPr>
          <w:lang w:eastAsia="ru-RU"/>
        </w:rPr>
        <w:t>(</w:t>
      </w:r>
      <w:r w:rsidR="007439BB" w:rsidRPr="00520170">
        <w:rPr>
          <w:lang w:eastAsia="ru-RU"/>
        </w:rPr>
        <w:t>готівки</w:t>
      </w:r>
      <w:r w:rsidRPr="00520170">
        <w:rPr>
          <w:lang w:eastAsia="ru-RU"/>
        </w:rPr>
        <w:t>) не перевищує трикратного розміру мінімальної заробітної плати на добу</w:t>
      </w:r>
      <w:r w:rsidR="00177B1C" w:rsidRPr="00520170">
        <w:t xml:space="preserve"> </w:t>
      </w:r>
      <w:r w:rsidR="00177B1C" w:rsidRPr="00520170">
        <w:rPr>
          <w:lang w:eastAsia="ru-RU"/>
        </w:rPr>
        <w:t xml:space="preserve">незалежно від кількості підрозділів банків, до яких здається така </w:t>
      </w:r>
      <w:r w:rsidR="007439BB" w:rsidRPr="00520170">
        <w:rPr>
          <w:lang w:eastAsia="ru-RU"/>
        </w:rPr>
        <w:t xml:space="preserve">готівкова виручка </w:t>
      </w:r>
      <w:r w:rsidR="00177B1C" w:rsidRPr="00520170">
        <w:rPr>
          <w:lang w:eastAsia="ru-RU"/>
        </w:rPr>
        <w:t>(</w:t>
      </w:r>
      <w:r w:rsidR="007439BB" w:rsidRPr="00520170">
        <w:rPr>
          <w:lang w:eastAsia="ru-RU"/>
        </w:rPr>
        <w:t>готівка</w:t>
      </w:r>
      <w:r w:rsidR="00177B1C" w:rsidRPr="00520170">
        <w:rPr>
          <w:lang w:eastAsia="ru-RU"/>
        </w:rPr>
        <w:t>)</w:t>
      </w:r>
      <w:r w:rsidRPr="00520170">
        <w:rPr>
          <w:lang w:eastAsia="ru-RU"/>
        </w:rPr>
        <w:t>;</w:t>
      </w:r>
    </w:p>
    <w:p w14:paraId="573C69DD" w14:textId="77777777" w:rsidR="00545737" w:rsidRPr="00520170" w:rsidRDefault="00545737" w:rsidP="00E8083B">
      <w:pPr>
        <w:ind w:firstLine="567"/>
        <w:rPr>
          <w:lang w:eastAsia="ru-RU"/>
        </w:rPr>
      </w:pPr>
    </w:p>
    <w:p w14:paraId="43B62F1B" w14:textId="08CB8334" w:rsidR="00BE1D16" w:rsidRPr="00520170" w:rsidRDefault="00545737" w:rsidP="00E8083B">
      <w:pPr>
        <w:ind w:firstLine="567"/>
        <w:rPr>
          <w:lang w:eastAsia="ru-RU"/>
        </w:rPr>
      </w:pPr>
      <w:r w:rsidRPr="00520170">
        <w:rPr>
          <w:lang w:eastAsia="ru-RU"/>
        </w:rPr>
        <w:t>2) для платіжних пристро</w:t>
      </w:r>
      <w:r w:rsidR="00BE1D16" w:rsidRPr="00520170">
        <w:rPr>
          <w:lang w:eastAsia="ru-RU"/>
        </w:rPr>
        <w:t>їв</w:t>
      </w:r>
      <w:r w:rsidR="00AF485F" w:rsidRPr="00520170">
        <w:rPr>
          <w:lang w:eastAsia="ru-RU"/>
        </w:rPr>
        <w:t xml:space="preserve"> та пунктів надання фінансових послуг</w:t>
      </w:r>
      <w:r w:rsidR="00BE1D16" w:rsidRPr="00520170">
        <w:rPr>
          <w:lang w:eastAsia="ru-RU"/>
        </w:rPr>
        <w:t>, розташован</w:t>
      </w:r>
      <w:r w:rsidR="00177B1C" w:rsidRPr="00520170">
        <w:rPr>
          <w:lang w:eastAsia="ru-RU"/>
        </w:rPr>
        <w:t xml:space="preserve">их у населених пунктах, </w:t>
      </w:r>
      <w:r w:rsidR="007439BB">
        <w:rPr>
          <w:lang w:eastAsia="ru-RU"/>
        </w:rPr>
        <w:t>в яких немає</w:t>
      </w:r>
      <w:r w:rsidR="00177B1C" w:rsidRPr="00520170">
        <w:rPr>
          <w:lang w:eastAsia="ru-RU"/>
        </w:rPr>
        <w:t xml:space="preserve"> підрозділ</w:t>
      </w:r>
      <w:r w:rsidR="007439BB">
        <w:rPr>
          <w:lang w:eastAsia="ru-RU"/>
        </w:rPr>
        <w:t>ів</w:t>
      </w:r>
      <w:r w:rsidR="00BE1D16" w:rsidRPr="00520170">
        <w:rPr>
          <w:lang w:eastAsia="ru-RU"/>
        </w:rPr>
        <w:t xml:space="preserve"> банків, періодичність здавання </w:t>
      </w:r>
      <w:r w:rsidR="007439BB" w:rsidRPr="00520170">
        <w:rPr>
          <w:lang w:eastAsia="ru-RU"/>
        </w:rPr>
        <w:t xml:space="preserve">готівкової виручки </w:t>
      </w:r>
      <w:r w:rsidR="00BE1D16" w:rsidRPr="00520170">
        <w:rPr>
          <w:lang w:eastAsia="ru-RU"/>
        </w:rPr>
        <w:t>(</w:t>
      </w:r>
      <w:r w:rsidR="007439BB" w:rsidRPr="00520170">
        <w:rPr>
          <w:lang w:eastAsia="ru-RU"/>
        </w:rPr>
        <w:t>готівки</w:t>
      </w:r>
      <w:r w:rsidR="00BE1D16" w:rsidRPr="00520170">
        <w:rPr>
          <w:lang w:eastAsia="ru-RU"/>
        </w:rPr>
        <w:t>) не рідше ніж один раз на п’ять днів;</w:t>
      </w:r>
    </w:p>
    <w:p w14:paraId="3F3A0742" w14:textId="77777777" w:rsidR="00BE1D16" w:rsidRPr="00520170" w:rsidRDefault="00BE1D16" w:rsidP="00E8083B">
      <w:pPr>
        <w:ind w:firstLine="567"/>
        <w:rPr>
          <w:lang w:eastAsia="ru-RU"/>
        </w:rPr>
      </w:pPr>
    </w:p>
    <w:p w14:paraId="303550C2" w14:textId="77777777" w:rsidR="00F504F3" w:rsidRPr="00520170" w:rsidRDefault="00BE1D16" w:rsidP="00E8083B">
      <w:pPr>
        <w:ind w:firstLine="567"/>
        <w:rPr>
          <w:lang w:eastAsia="ru-RU"/>
        </w:rPr>
      </w:pPr>
      <w:r w:rsidRPr="00520170">
        <w:rPr>
          <w:lang w:eastAsia="ru-RU"/>
        </w:rPr>
        <w:t xml:space="preserve">3) обов’язкова наявність документа, що підтверджує розвантаження платіжного пристрою для подальшого здавання готівки до </w:t>
      </w:r>
      <w:r w:rsidR="00177B1C" w:rsidRPr="00520170">
        <w:rPr>
          <w:lang w:eastAsia="ru-RU"/>
        </w:rPr>
        <w:t xml:space="preserve">підрозділів </w:t>
      </w:r>
      <w:r w:rsidRPr="00520170">
        <w:rPr>
          <w:lang w:eastAsia="ru-RU"/>
        </w:rPr>
        <w:t>банку.</w:t>
      </w:r>
    </w:p>
    <w:p w14:paraId="0867FDE5" w14:textId="7DDE7423" w:rsidR="00E8083B" w:rsidRPr="00520170" w:rsidRDefault="00F504F3" w:rsidP="00E8083B">
      <w:pPr>
        <w:ind w:firstLine="567"/>
        <w:rPr>
          <w:lang w:eastAsia="ru-RU"/>
        </w:rPr>
      </w:pPr>
      <w:r w:rsidRPr="00520170">
        <w:rPr>
          <w:lang w:eastAsia="ru-RU"/>
        </w:rPr>
        <w:t xml:space="preserve">Особа – представник комерційного </w:t>
      </w:r>
      <w:proofErr w:type="spellStart"/>
      <w:r w:rsidRPr="00520170">
        <w:rPr>
          <w:lang w:eastAsia="ru-RU"/>
        </w:rPr>
        <w:t>агента</w:t>
      </w:r>
      <w:proofErr w:type="spellEnd"/>
      <w:r w:rsidRPr="00520170">
        <w:rPr>
          <w:lang w:eastAsia="ru-RU"/>
        </w:rPr>
        <w:t xml:space="preserve"> банку, небанківського надавача платіжних послуг та</w:t>
      </w:r>
      <w:r w:rsidR="00C43C40">
        <w:rPr>
          <w:lang w:eastAsia="ru-RU"/>
        </w:rPr>
        <w:t>/або</w:t>
      </w:r>
      <w:r w:rsidRPr="00520170">
        <w:rPr>
          <w:lang w:eastAsia="ru-RU"/>
        </w:rPr>
        <w:t xml:space="preserve"> його комерційного </w:t>
      </w:r>
      <w:proofErr w:type="spellStart"/>
      <w:r w:rsidRPr="00520170">
        <w:rPr>
          <w:lang w:eastAsia="ru-RU"/>
        </w:rPr>
        <w:t>агента</w:t>
      </w:r>
      <w:proofErr w:type="spellEnd"/>
      <w:r w:rsidRPr="00520170">
        <w:rPr>
          <w:lang w:eastAsia="ru-RU"/>
        </w:rPr>
        <w:t xml:space="preserve"> </w:t>
      </w:r>
      <w:r w:rsidR="007439BB">
        <w:rPr>
          <w:lang w:eastAsia="ru-RU"/>
        </w:rPr>
        <w:t>в</w:t>
      </w:r>
      <w:r w:rsidR="007439BB" w:rsidRPr="00520170">
        <w:rPr>
          <w:lang w:eastAsia="ru-RU"/>
        </w:rPr>
        <w:t xml:space="preserve"> </w:t>
      </w:r>
      <w:r w:rsidRPr="00520170">
        <w:rPr>
          <w:lang w:eastAsia="ru-RU"/>
        </w:rPr>
        <w:t xml:space="preserve">разі виявлення під час самостійного здавання до банку </w:t>
      </w:r>
      <w:r w:rsidR="007439BB" w:rsidRPr="00520170">
        <w:rPr>
          <w:lang w:eastAsia="ru-RU"/>
        </w:rPr>
        <w:t xml:space="preserve">готівкової виручки </w:t>
      </w:r>
      <w:r w:rsidRPr="00520170">
        <w:rPr>
          <w:lang w:eastAsia="ru-RU"/>
        </w:rPr>
        <w:t>(</w:t>
      </w:r>
      <w:r w:rsidR="007439BB" w:rsidRPr="00520170">
        <w:rPr>
          <w:lang w:eastAsia="ru-RU"/>
        </w:rPr>
        <w:t>готівки</w:t>
      </w:r>
      <w:r w:rsidRPr="00520170">
        <w:rPr>
          <w:lang w:eastAsia="ru-RU"/>
        </w:rPr>
        <w:t xml:space="preserve">), отриманої через платіжний пристрій, розбіжностей між сумою, зазначеною </w:t>
      </w:r>
      <w:r w:rsidR="007439BB">
        <w:rPr>
          <w:lang w:eastAsia="ru-RU"/>
        </w:rPr>
        <w:t>в</w:t>
      </w:r>
      <w:r w:rsidR="007439BB" w:rsidRPr="00520170">
        <w:rPr>
          <w:lang w:eastAsia="ru-RU"/>
        </w:rPr>
        <w:t xml:space="preserve"> </w:t>
      </w:r>
      <w:r w:rsidRPr="00520170">
        <w:rPr>
          <w:lang w:eastAsia="ru-RU"/>
        </w:rPr>
        <w:t xml:space="preserve">документі, що </w:t>
      </w:r>
      <w:r w:rsidRPr="00520170">
        <w:rPr>
          <w:lang w:eastAsia="ru-RU"/>
        </w:rPr>
        <w:lastRenderedPageBreak/>
        <w:t>підтверджує розвантаження платіжного пристрою</w:t>
      </w:r>
      <w:r w:rsidR="007439BB">
        <w:rPr>
          <w:lang w:eastAsia="ru-RU"/>
        </w:rPr>
        <w:t>,</w:t>
      </w:r>
      <w:r w:rsidRPr="00520170">
        <w:rPr>
          <w:lang w:eastAsia="ru-RU"/>
        </w:rPr>
        <w:t xml:space="preserve"> та сумою, що здається до банку, має відобразити таку розбіжність, зазначивши фактичну суму, що здається до банку</w:t>
      </w:r>
      <w:r w:rsidR="007439BB">
        <w:rPr>
          <w:lang w:eastAsia="ru-RU"/>
        </w:rPr>
        <w:t>,</w:t>
      </w:r>
      <w:r w:rsidRPr="00520170">
        <w:rPr>
          <w:lang w:eastAsia="ru-RU"/>
        </w:rPr>
        <w:t xml:space="preserve"> на документі, що підтверджує розвантаження платіжного пристрою, та завіривши її власноручним підписом.</w:t>
      </w:r>
      <w:r w:rsidR="00E8083B" w:rsidRPr="00520170">
        <w:rPr>
          <w:lang w:eastAsia="ru-RU"/>
        </w:rPr>
        <w:t>”;</w:t>
      </w:r>
    </w:p>
    <w:p w14:paraId="1883DE62" w14:textId="77777777" w:rsidR="00EB0714" w:rsidRPr="00520170" w:rsidRDefault="00EB0714" w:rsidP="00E8083B">
      <w:pPr>
        <w:ind w:firstLine="567"/>
        <w:rPr>
          <w:lang w:eastAsia="ru-RU"/>
        </w:rPr>
      </w:pPr>
    </w:p>
    <w:p w14:paraId="15F7252E" w14:textId="77777777" w:rsidR="00E8083B" w:rsidRPr="00520170" w:rsidRDefault="00233D3E" w:rsidP="00E8083B">
      <w:pPr>
        <w:ind w:firstLine="567"/>
        <w:rPr>
          <w:lang w:eastAsia="ru-RU"/>
        </w:rPr>
      </w:pPr>
      <w:r w:rsidRPr="00520170">
        <w:rPr>
          <w:lang w:eastAsia="ru-RU"/>
        </w:rPr>
        <w:t>6</w:t>
      </w:r>
      <w:r w:rsidR="00EB0714" w:rsidRPr="00520170">
        <w:rPr>
          <w:lang w:eastAsia="ru-RU"/>
        </w:rPr>
        <w:t xml:space="preserve">) </w:t>
      </w:r>
      <w:r w:rsidR="00F206BE" w:rsidRPr="00520170">
        <w:rPr>
          <w:lang w:eastAsia="ru-RU"/>
        </w:rPr>
        <w:t xml:space="preserve">в абзаці першому пункту </w:t>
      </w:r>
      <w:r w:rsidR="00E8083B" w:rsidRPr="00520170">
        <w:rPr>
          <w:lang w:eastAsia="ru-RU"/>
        </w:rPr>
        <w:t>17 слова “з банку” замінити словам</w:t>
      </w:r>
      <w:r w:rsidR="00EB0714" w:rsidRPr="00520170">
        <w:rPr>
          <w:lang w:eastAsia="ru-RU"/>
        </w:rPr>
        <w:t>и “у надавача платіжних послуг”.</w:t>
      </w:r>
    </w:p>
    <w:p w14:paraId="455A0571" w14:textId="77777777" w:rsidR="00E8083B" w:rsidRPr="00520170" w:rsidRDefault="00EB0714" w:rsidP="00E8083B">
      <w:pPr>
        <w:spacing w:before="240"/>
        <w:ind w:firstLine="567"/>
        <w:rPr>
          <w:lang w:eastAsia="ru-RU"/>
        </w:rPr>
      </w:pPr>
      <w:r w:rsidRPr="00520170">
        <w:rPr>
          <w:lang w:eastAsia="ru-RU"/>
        </w:rPr>
        <w:t>3. У</w:t>
      </w:r>
      <w:r w:rsidR="00E8083B" w:rsidRPr="00520170">
        <w:rPr>
          <w:lang w:eastAsia="ru-RU"/>
        </w:rPr>
        <w:t xml:space="preserve"> пункті 49 розділу V:</w:t>
      </w:r>
    </w:p>
    <w:p w14:paraId="298F8E94" w14:textId="77777777" w:rsidR="00E8083B" w:rsidRPr="00520170" w:rsidRDefault="00E8083B" w:rsidP="00E8083B">
      <w:pPr>
        <w:ind w:firstLine="567"/>
        <w:rPr>
          <w:lang w:eastAsia="ru-RU"/>
        </w:rPr>
      </w:pPr>
      <w:r w:rsidRPr="00520170">
        <w:rPr>
          <w:lang w:eastAsia="ru-RU"/>
        </w:rPr>
        <w:t xml:space="preserve">абзац </w:t>
      </w:r>
      <w:r w:rsidR="00F206BE" w:rsidRPr="00520170">
        <w:rPr>
          <w:lang w:eastAsia="ru-RU"/>
        </w:rPr>
        <w:t xml:space="preserve">другий </w:t>
      </w:r>
      <w:r w:rsidRPr="00520170">
        <w:rPr>
          <w:lang w:eastAsia="ru-RU"/>
        </w:rPr>
        <w:t>після слова “Строки” доповнити словами “та спосіб”;</w:t>
      </w:r>
    </w:p>
    <w:p w14:paraId="035D8508" w14:textId="77777777" w:rsidR="00E8083B" w:rsidRPr="00520170" w:rsidRDefault="00E8083B" w:rsidP="00E8083B">
      <w:pPr>
        <w:ind w:firstLine="567"/>
        <w:rPr>
          <w:lang w:eastAsia="ru-RU"/>
        </w:rPr>
      </w:pPr>
      <w:r w:rsidRPr="00520170">
        <w:rPr>
          <w:lang w:eastAsia="ru-RU"/>
        </w:rPr>
        <w:t xml:space="preserve">абзац </w:t>
      </w:r>
      <w:r w:rsidR="00F206BE" w:rsidRPr="00520170">
        <w:rPr>
          <w:lang w:eastAsia="ru-RU"/>
        </w:rPr>
        <w:t xml:space="preserve">четвертий </w:t>
      </w:r>
      <w:r w:rsidRPr="00520170">
        <w:rPr>
          <w:lang w:eastAsia="ru-RU"/>
        </w:rPr>
        <w:t xml:space="preserve">викласти в </w:t>
      </w:r>
      <w:r w:rsidR="00F206BE" w:rsidRPr="00520170">
        <w:rPr>
          <w:lang w:eastAsia="ru-RU"/>
        </w:rPr>
        <w:t xml:space="preserve">такій </w:t>
      </w:r>
      <w:r w:rsidRPr="00520170">
        <w:rPr>
          <w:lang w:eastAsia="ru-RU"/>
        </w:rPr>
        <w:t xml:space="preserve">редакції: </w:t>
      </w:r>
    </w:p>
    <w:p w14:paraId="35C53F66" w14:textId="55A25083" w:rsidR="00E8083B" w:rsidRPr="00520170" w:rsidRDefault="00E8083B" w:rsidP="00E8083B">
      <w:pPr>
        <w:ind w:firstLine="567"/>
        <w:rPr>
          <w:lang w:eastAsia="ru-RU"/>
        </w:rPr>
      </w:pPr>
      <w:r w:rsidRPr="00520170">
        <w:rPr>
          <w:lang w:eastAsia="ru-RU"/>
        </w:rPr>
        <w:t>“</w:t>
      </w:r>
      <w:r w:rsidRPr="00520170">
        <w:t>Порядок проведення інкасації коштів</w:t>
      </w:r>
      <w:r w:rsidR="007439BB">
        <w:t xml:space="preserve"> і</w:t>
      </w:r>
      <w:r w:rsidRPr="00520170">
        <w:t xml:space="preserve"> сума, у разі перевищення якої інкасація коштів є обов’язковою</w:t>
      </w:r>
      <w:r w:rsidR="007439BB">
        <w:t>,</w:t>
      </w:r>
      <w:r w:rsidRPr="00520170">
        <w:t xml:space="preserve"> та випадки </w:t>
      </w:r>
      <w:proofErr w:type="spellStart"/>
      <w:r w:rsidRPr="00520170">
        <w:t>непроведення</w:t>
      </w:r>
      <w:proofErr w:type="spellEnd"/>
      <w:r w:rsidRPr="00520170">
        <w:t xml:space="preserve"> інкасації коштів визначаються в договорі на </w:t>
      </w:r>
      <w:proofErr w:type="spellStart"/>
      <w:r w:rsidRPr="00520170">
        <w:t>інкасаційне</w:t>
      </w:r>
      <w:proofErr w:type="spellEnd"/>
      <w:r w:rsidRPr="00520170">
        <w:t xml:space="preserve"> обслуговування, укладеному з банком/підприємством, якому згідно із законодавством України надано право на інкасацію коштів, перевезення валютних та інших цінностей. Сума залишку готівки за день, у якому не було інкасації з вини банку/підприємства, якому згідно із законодавством України надано право на інкасацію коштів, перевезення валютних та інших цінностей, не є перевищенням ліміту каси установи/підприємства.</w:t>
      </w:r>
      <w:r w:rsidRPr="00520170">
        <w:rPr>
          <w:lang w:eastAsia="ru-RU"/>
        </w:rPr>
        <w:t xml:space="preserve">”. </w:t>
      </w:r>
    </w:p>
    <w:p w14:paraId="6B1E0E6F" w14:textId="77777777" w:rsidR="00D221A7" w:rsidRPr="00520170" w:rsidRDefault="00D221A7" w:rsidP="00A82F91">
      <w:pPr>
        <w:ind w:left="5529"/>
        <w:rPr>
          <w:sz w:val="22"/>
          <w:szCs w:val="22"/>
        </w:rPr>
      </w:pPr>
    </w:p>
    <w:sectPr w:rsidR="00D221A7" w:rsidRPr="00520170" w:rsidSect="007439BB">
      <w:pgSz w:w="11906" w:h="16838" w:code="9"/>
      <w:pgMar w:top="567" w:right="567" w:bottom="1701"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99F76" w14:textId="77777777" w:rsidR="000D7B40" w:rsidRDefault="000D7B40">
      <w:r>
        <w:separator/>
      </w:r>
    </w:p>
  </w:endnote>
  <w:endnote w:type="continuationSeparator" w:id="0">
    <w:p w14:paraId="4F4C5C0C" w14:textId="77777777" w:rsidR="000D7B40" w:rsidRDefault="000D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altName w:val="Haettenschweiler"/>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61B48" w14:textId="77777777" w:rsidR="00F93C70" w:rsidRPr="00AB062E" w:rsidRDefault="00F547F2" w:rsidP="00F93C70">
    <w:pPr>
      <w:pStyle w:val="a5"/>
      <w:jc w:val="right"/>
      <w:rPr>
        <w:color w:val="FFFFFF" w:themeColor="background1"/>
      </w:rPr>
    </w:pPr>
    <w:r w:rsidRPr="00AB062E">
      <w:rPr>
        <w:color w:val="FFFFFF" w:themeColor="background1"/>
      </w:rPr>
      <w:t>Шаблон</w:t>
    </w:r>
  </w:p>
  <w:p w14:paraId="10D13DB0" w14:textId="77777777" w:rsidR="00F93C70" w:rsidRPr="00F93C70" w:rsidRDefault="00F547F2" w:rsidP="00F93C70">
    <w:pPr>
      <w:pStyle w:val="a7"/>
      <w:jc w:val="right"/>
      <w:rPr>
        <w:color w:val="FFFFFF" w:themeColor="background1"/>
      </w:rPr>
    </w:pPr>
    <w:r w:rsidRPr="00F93C70">
      <w:rPr>
        <w:color w:val="FFFFFF" w:themeColor="background1"/>
      </w:rPr>
      <w:t>Шаблон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7DA00" w14:textId="77777777" w:rsidR="000D7B40" w:rsidRDefault="000D7B40">
      <w:r>
        <w:separator/>
      </w:r>
    </w:p>
  </w:footnote>
  <w:footnote w:type="continuationSeparator" w:id="0">
    <w:p w14:paraId="706F929A" w14:textId="77777777" w:rsidR="000D7B40" w:rsidRDefault="000D7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9334"/>
      <w:docPartObj>
        <w:docPartGallery w:val="Page Numbers (Top of Page)"/>
        <w:docPartUnique/>
      </w:docPartObj>
    </w:sdtPr>
    <w:sdtEndPr/>
    <w:sdtContent>
      <w:p w14:paraId="0DDD5F9E" w14:textId="25DAA5A2" w:rsidR="00460BA2" w:rsidRDefault="00F547F2">
        <w:pPr>
          <w:pStyle w:val="a5"/>
          <w:jc w:val="center"/>
        </w:pPr>
        <w:r>
          <w:fldChar w:fldCharType="begin"/>
        </w:r>
        <w:r>
          <w:instrText xml:space="preserve"> PAGE   \* MERGEFORMAT </w:instrText>
        </w:r>
        <w:r>
          <w:fldChar w:fldCharType="separate"/>
        </w:r>
        <w:r w:rsidR="009C632E">
          <w:rPr>
            <w:noProof/>
          </w:rPr>
          <w:t>4</w:t>
        </w:r>
        <w:r>
          <w:fldChar w:fldCharType="end"/>
        </w:r>
      </w:p>
    </w:sdtContent>
  </w:sdt>
  <w:p w14:paraId="00A9D93D" w14:textId="77777777" w:rsidR="00460BA2" w:rsidRDefault="00460BA2" w:rsidP="003F5BA3">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905DD"/>
    <w:multiLevelType w:val="hybridMultilevel"/>
    <w:tmpl w:val="4008ECA2"/>
    <w:lvl w:ilvl="0" w:tplc="27A2EF70">
      <w:start w:val="1"/>
      <w:numFmt w:val="decimal"/>
      <w:lvlText w:val="%1."/>
      <w:lvlJc w:val="left"/>
      <w:pPr>
        <w:ind w:left="3905" w:hanging="360"/>
      </w:pPr>
    </w:lvl>
    <w:lvl w:ilvl="1" w:tplc="4B546394">
      <w:start w:val="1"/>
      <w:numFmt w:val="lowerLetter"/>
      <w:lvlText w:val="%2."/>
      <w:lvlJc w:val="left"/>
      <w:pPr>
        <w:ind w:left="1789" w:hanging="360"/>
      </w:pPr>
    </w:lvl>
    <w:lvl w:ilvl="2" w:tplc="86FE5EEC">
      <w:start w:val="1"/>
      <w:numFmt w:val="lowerRoman"/>
      <w:lvlText w:val="%3."/>
      <w:lvlJc w:val="right"/>
      <w:pPr>
        <w:ind w:left="2509" w:hanging="180"/>
      </w:pPr>
    </w:lvl>
    <w:lvl w:ilvl="3" w:tplc="138C626C">
      <w:start w:val="1"/>
      <w:numFmt w:val="decimal"/>
      <w:lvlText w:val="%4."/>
      <w:lvlJc w:val="left"/>
      <w:pPr>
        <w:ind w:left="3229" w:hanging="360"/>
      </w:pPr>
    </w:lvl>
    <w:lvl w:ilvl="4" w:tplc="228486DA">
      <w:start w:val="1"/>
      <w:numFmt w:val="lowerLetter"/>
      <w:lvlText w:val="%5."/>
      <w:lvlJc w:val="left"/>
      <w:pPr>
        <w:ind w:left="3949" w:hanging="360"/>
      </w:pPr>
    </w:lvl>
    <w:lvl w:ilvl="5" w:tplc="F158751E">
      <w:start w:val="1"/>
      <w:numFmt w:val="lowerRoman"/>
      <w:lvlText w:val="%6."/>
      <w:lvlJc w:val="right"/>
      <w:pPr>
        <w:ind w:left="4669" w:hanging="180"/>
      </w:pPr>
    </w:lvl>
    <w:lvl w:ilvl="6" w:tplc="882C63DA">
      <w:start w:val="1"/>
      <w:numFmt w:val="decimal"/>
      <w:lvlText w:val="%7."/>
      <w:lvlJc w:val="left"/>
      <w:pPr>
        <w:ind w:left="5389" w:hanging="360"/>
      </w:pPr>
    </w:lvl>
    <w:lvl w:ilvl="7" w:tplc="16CA88F0">
      <w:start w:val="1"/>
      <w:numFmt w:val="lowerLetter"/>
      <w:lvlText w:val="%8."/>
      <w:lvlJc w:val="left"/>
      <w:pPr>
        <w:ind w:left="6109" w:hanging="360"/>
      </w:pPr>
    </w:lvl>
    <w:lvl w:ilvl="8" w:tplc="E432F70A">
      <w:start w:val="1"/>
      <w:numFmt w:val="lowerRoman"/>
      <w:lvlText w:val="%9."/>
      <w:lvlJc w:val="right"/>
      <w:pPr>
        <w:ind w:left="6829" w:hanging="180"/>
      </w:pPr>
    </w:lvl>
  </w:abstractNum>
  <w:abstractNum w:abstractNumId="1" w15:restartNumberingAfterBreak="0">
    <w:nsid w:val="355C4CCC"/>
    <w:multiLevelType w:val="hybridMultilevel"/>
    <w:tmpl w:val="2E606E2E"/>
    <w:lvl w:ilvl="0" w:tplc="02E68E8C">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9745796"/>
    <w:multiLevelType w:val="hybridMultilevel"/>
    <w:tmpl w:val="D44AD2DE"/>
    <w:lvl w:ilvl="0" w:tplc="5B2AC7B6">
      <w:start w:val="1"/>
      <w:numFmt w:val="decimal"/>
      <w:lvlText w:val="%1."/>
      <w:lvlJc w:val="left"/>
      <w:pPr>
        <w:ind w:left="1429" w:hanging="360"/>
      </w:pPr>
    </w:lvl>
    <w:lvl w:ilvl="1" w:tplc="331AD330" w:tentative="1">
      <w:start w:val="1"/>
      <w:numFmt w:val="lowerLetter"/>
      <w:lvlText w:val="%2."/>
      <w:lvlJc w:val="left"/>
      <w:pPr>
        <w:ind w:left="2149" w:hanging="360"/>
      </w:pPr>
    </w:lvl>
    <w:lvl w:ilvl="2" w:tplc="818E9C2C" w:tentative="1">
      <w:start w:val="1"/>
      <w:numFmt w:val="lowerRoman"/>
      <w:lvlText w:val="%3."/>
      <w:lvlJc w:val="right"/>
      <w:pPr>
        <w:ind w:left="2869" w:hanging="180"/>
      </w:pPr>
    </w:lvl>
    <w:lvl w:ilvl="3" w:tplc="C99CF476" w:tentative="1">
      <w:start w:val="1"/>
      <w:numFmt w:val="decimal"/>
      <w:lvlText w:val="%4."/>
      <w:lvlJc w:val="left"/>
      <w:pPr>
        <w:ind w:left="3589" w:hanging="360"/>
      </w:pPr>
    </w:lvl>
    <w:lvl w:ilvl="4" w:tplc="F912F48C" w:tentative="1">
      <w:start w:val="1"/>
      <w:numFmt w:val="lowerLetter"/>
      <w:lvlText w:val="%5."/>
      <w:lvlJc w:val="left"/>
      <w:pPr>
        <w:ind w:left="4309" w:hanging="360"/>
      </w:pPr>
    </w:lvl>
    <w:lvl w:ilvl="5" w:tplc="4140ABAC" w:tentative="1">
      <w:start w:val="1"/>
      <w:numFmt w:val="lowerRoman"/>
      <w:lvlText w:val="%6."/>
      <w:lvlJc w:val="right"/>
      <w:pPr>
        <w:ind w:left="5029" w:hanging="180"/>
      </w:pPr>
    </w:lvl>
    <w:lvl w:ilvl="6" w:tplc="98100EAA" w:tentative="1">
      <w:start w:val="1"/>
      <w:numFmt w:val="decimal"/>
      <w:lvlText w:val="%7."/>
      <w:lvlJc w:val="left"/>
      <w:pPr>
        <w:ind w:left="5749" w:hanging="360"/>
      </w:pPr>
    </w:lvl>
    <w:lvl w:ilvl="7" w:tplc="F666662C" w:tentative="1">
      <w:start w:val="1"/>
      <w:numFmt w:val="lowerLetter"/>
      <w:lvlText w:val="%8."/>
      <w:lvlJc w:val="left"/>
      <w:pPr>
        <w:ind w:left="6469" w:hanging="360"/>
      </w:pPr>
    </w:lvl>
    <w:lvl w:ilvl="8" w:tplc="3F90C9C2" w:tentative="1">
      <w:start w:val="1"/>
      <w:numFmt w:val="lowerRoman"/>
      <w:lvlText w:val="%9."/>
      <w:lvlJc w:val="right"/>
      <w:pPr>
        <w:ind w:left="7189" w:hanging="180"/>
      </w:pPr>
    </w:lvl>
  </w:abstractNum>
  <w:abstractNum w:abstractNumId="3" w15:restartNumberingAfterBreak="0">
    <w:nsid w:val="42783F68"/>
    <w:multiLevelType w:val="hybridMultilevel"/>
    <w:tmpl w:val="201AD7DC"/>
    <w:lvl w:ilvl="0" w:tplc="70C48D2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45E64C19"/>
    <w:multiLevelType w:val="hybridMultilevel"/>
    <w:tmpl w:val="250A7968"/>
    <w:lvl w:ilvl="0" w:tplc="6C2C476A">
      <w:start w:val="5"/>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65"/>
    <w:rsid w:val="000016DD"/>
    <w:rsid w:val="000064FA"/>
    <w:rsid w:val="000069AF"/>
    <w:rsid w:val="00006CF5"/>
    <w:rsid w:val="00006D90"/>
    <w:rsid w:val="000145E8"/>
    <w:rsid w:val="00014DCC"/>
    <w:rsid w:val="00015CF3"/>
    <w:rsid w:val="00015FDE"/>
    <w:rsid w:val="000271C0"/>
    <w:rsid w:val="0003158C"/>
    <w:rsid w:val="00031C49"/>
    <w:rsid w:val="0003331E"/>
    <w:rsid w:val="000342A5"/>
    <w:rsid w:val="0003793C"/>
    <w:rsid w:val="0005249A"/>
    <w:rsid w:val="000543C6"/>
    <w:rsid w:val="00055A4F"/>
    <w:rsid w:val="000600A8"/>
    <w:rsid w:val="00061C52"/>
    <w:rsid w:val="00063480"/>
    <w:rsid w:val="000638F2"/>
    <w:rsid w:val="0006598C"/>
    <w:rsid w:val="000A6FE7"/>
    <w:rsid w:val="000B06F1"/>
    <w:rsid w:val="000B2990"/>
    <w:rsid w:val="000B4B6B"/>
    <w:rsid w:val="000B68A6"/>
    <w:rsid w:val="000C0026"/>
    <w:rsid w:val="000D5297"/>
    <w:rsid w:val="000D5E64"/>
    <w:rsid w:val="000D778F"/>
    <w:rsid w:val="000D7B40"/>
    <w:rsid w:val="000E0CB3"/>
    <w:rsid w:val="000E5B8C"/>
    <w:rsid w:val="000E7A13"/>
    <w:rsid w:val="00104931"/>
    <w:rsid w:val="00106229"/>
    <w:rsid w:val="00115ECF"/>
    <w:rsid w:val="0013071E"/>
    <w:rsid w:val="00131D92"/>
    <w:rsid w:val="00136637"/>
    <w:rsid w:val="00136D45"/>
    <w:rsid w:val="00141CF1"/>
    <w:rsid w:val="00145F99"/>
    <w:rsid w:val="001513A8"/>
    <w:rsid w:val="001564BA"/>
    <w:rsid w:val="001631E2"/>
    <w:rsid w:val="00166248"/>
    <w:rsid w:val="001716B0"/>
    <w:rsid w:val="001740C0"/>
    <w:rsid w:val="00177B1C"/>
    <w:rsid w:val="0018165B"/>
    <w:rsid w:val="00190E1A"/>
    <w:rsid w:val="001A0EE5"/>
    <w:rsid w:val="001A16FA"/>
    <w:rsid w:val="001A4CB9"/>
    <w:rsid w:val="001A6795"/>
    <w:rsid w:val="001B0B2C"/>
    <w:rsid w:val="001B4E43"/>
    <w:rsid w:val="001C206C"/>
    <w:rsid w:val="001C4C97"/>
    <w:rsid w:val="001D2D85"/>
    <w:rsid w:val="001D487A"/>
    <w:rsid w:val="001D7200"/>
    <w:rsid w:val="001D7B8B"/>
    <w:rsid w:val="001E5374"/>
    <w:rsid w:val="001F3B2A"/>
    <w:rsid w:val="002049CF"/>
    <w:rsid w:val="002238D1"/>
    <w:rsid w:val="002258D0"/>
    <w:rsid w:val="00233D3E"/>
    <w:rsid w:val="00233E1F"/>
    <w:rsid w:val="00233F37"/>
    <w:rsid w:val="002352D5"/>
    <w:rsid w:val="00241373"/>
    <w:rsid w:val="002461B0"/>
    <w:rsid w:val="00247710"/>
    <w:rsid w:val="002501F0"/>
    <w:rsid w:val="00253BD7"/>
    <w:rsid w:val="00253BF9"/>
    <w:rsid w:val="0026311C"/>
    <w:rsid w:val="00264983"/>
    <w:rsid w:val="00266678"/>
    <w:rsid w:val="00274289"/>
    <w:rsid w:val="00276988"/>
    <w:rsid w:val="00280DCC"/>
    <w:rsid w:val="00285DDA"/>
    <w:rsid w:val="00286B9A"/>
    <w:rsid w:val="00290169"/>
    <w:rsid w:val="002928C1"/>
    <w:rsid w:val="002A2391"/>
    <w:rsid w:val="002A2C24"/>
    <w:rsid w:val="002B12C8"/>
    <w:rsid w:val="002B351E"/>
    <w:rsid w:val="002B3F71"/>
    <w:rsid w:val="002B582B"/>
    <w:rsid w:val="002C1FDB"/>
    <w:rsid w:val="002D1790"/>
    <w:rsid w:val="002F06E0"/>
    <w:rsid w:val="002F41C2"/>
    <w:rsid w:val="002F48EF"/>
    <w:rsid w:val="00300A5B"/>
    <w:rsid w:val="00310F0B"/>
    <w:rsid w:val="00313903"/>
    <w:rsid w:val="00314A81"/>
    <w:rsid w:val="00320C07"/>
    <w:rsid w:val="00324584"/>
    <w:rsid w:val="00331332"/>
    <w:rsid w:val="00332701"/>
    <w:rsid w:val="00333F7E"/>
    <w:rsid w:val="00340D07"/>
    <w:rsid w:val="00343FC6"/>
    <w:rsid w:val="00344796"/>
    <w:rsid w:val="00345982"/>
    <w:rsid w:val="00345CC4"/>
    <w:rsid w:val="00355192"/>
    <w:rsid w:val="00356E34"/>
    <w:rsid w:val="00356EBA"/>
    <w:rsid w:val="00357676"/>
    <w:rsid w:val="00373E8C"/>
    <w:rsid w:val="00376D92"/>
    <w:rsid w:val="0038385E"/>
    <w:rsid w:val="00384F65"/>
    <w:rsid w:val="003941E9"/>
    <w:rsid w:val="0039725C"/>
    <w:rsid w:val="00397601"/>
    <w:rsid w:val="003A16E7"/>
    <w:rsid w:val="003A751F"/>
    <w:rsid w:val="003B60C1"/>
    <w:rsid w:val="003C2113"/>
    <w:rsid w:val="003C3282"/>
    <w:rsid w:val="003C3985"/>
    <w:rsid w:val="003D0B67"/>
    <w:rsid w:val="003D0CD0"/>
    <w:rsid w:val="003D6366"/>
    <w:rsid w:val="003D6B33"/>
    <w:rsid w:val="003E28B7"/>
    <w:rsid w:val="003E5F56"/>
    <w:rsid w:val="003F0441"/>
    <w:rsid w:val="003F06E5"/>
    <w:rsid w:val="003F28B5"/>
    <w:rsid w:val="003F4694"/>
    <w:rsid w:val="003F5BA3"/>
    <w:rsid w:val="003F7093"/>
    <w:rsid w:val="003F7DA5"/>
    <w:rsid w:val="00401EDB"/>
    <w:rsid w:val="004039AB"/>
    <w:rsid w:val="00404C93"/>
    <w:rsid w:val="00407877"/>
    <w:rsid w:val="00412E2D"/>
    <w:rsid w:val="004130B9"/>
    <w:rsid w:val="00416EB3"/>
    <w:rsid w:val="00417B10"/>
    <w:rsid w:val="00417D8E"/>
    <w:rsid w:val="00423977"/>
    <w:rsid w:val="0043496A"/>
    <w:rsid w:val="0043524C"/>
    <w:rsid w:val="00444006"/>
    <w:rsid w:val="00446469"/>
    <w:rsid w:val="00446704"/>
    <w:rsid w:val="00446A07"/>
    <w:rsid w:val="004558D5"/>
    <w:rsid w:val="00455B45"/>
    <w:rsid w:val="00460BA2"/>
    <w:rsid w:val="00460E54"/>
    <w:rsid w:val="004626C1"/>
    <w:rsid w:val="004666D6"/>
    <w:rsid w:val="00484322"/>
    <w:rsid w:val="00494C20"/>
    <w:rsid w:val="004A1CFC"/>
    <w:rsid w:val="004A5C1F"/>
    <w:rsid w:val="004A7F75"/>
    <w:rsid w:val="004B1FE9"/>
    <w:rsid w:val="004B5574"/>
    <w:rsid w:val="004C3238"/>
    <w:rsid w:val="004C6D8C"/>
    <w:rsid w:val="004D0BE9"/>
    <w:rsid w:val="004D0F19"/>
    <w:rsid w:val="004D2B57"/>
    <w:rsid w:val="004E1ACB"/>
    <w:rsid w:val="004E22E2"/>
    <w:rsid w:val="004E5E7F"/>
    <w:rsid w:val="004F196F"/>
    <w:rsid w:val="004F7286"/>
    <w:rsid w:val="00501472"/>
    <w:rsid w:val="0050563F"/>
    <w:rsid w:val="00505ABC"/>
    <w:rsid w:val="00520170"/>
    <w:rsid w:val="005212A1"/>
    <w:rsid w:val="005212C5"/>
    <w:rsid w:val="00523C13"/>
    <w:rsid w:val="00524F07"/>
    <w:rsid w:val="005257C2"/>
    <w:rsid w:val="00526EE1"/>
    <w:rsid w:val="00532633"/>
    <w:rsid w:val="005403F1"/>
    <w:rsid w:val="00542533"/>
    <w:rsid w:val="00545737"/>
    <w:rsid w:val="005624B6"/>
    <w:rsid w:val="00562C46"/>
    <w:rsid w:val="00566BA2"/>
    <w:rsid w:val="0057237F"/>
    <w:rsid w:val="00576B18"/>
    <w:rsid w:val="00577402"/>
    <w:rsid w:val="005822CB"/>
    <w:rsid w:val="0059297C"/>
    <w:rsid w:val="00597AB6"/>
    <w:rsid w:val="005A0F4B"/>
    <w:rsid w:val="005A1D3C"/>
    <w:rsid w:val="005A3F34"/>
    <w:rsid w:val="005B2D03"/>
    <w:rsid w:val="005B54F2"/>
    <w:rsid w:val="005B7CB6"/>
    <w:rsid w:val="005C5CBF"/>
    <w:rsid w:val="005C6185"/>
    <w:rsid w:val="005D3B88"/>
    <w:rsid w:val="005D45F5"/>
    <w:rsid w:val="005E07A1"/>
    <w:rsid w:val="005E0A80"/>
    <w:rsid w:val="005E2B1E"/>
    <w:rsid w:val="005E3FA8"/>
    <w:rsid w:val="005F4CB4"/>
    <w:rsid w:val="005F6B35"/>
    <w:rsid w:val="00602199"/>
    <w:rsid w:val="006121C5"/>
    <w:rsid w:val="00625341"/>
    <w:rsid w:val="00640612"/>
    <w:rsid w:val="0064227D"/>
    <w:rsid w:val="00645D2B"/>
    <w:rsid w:val="00650FAE"/>
    <w:rsid w:val="0065179F"/>
    <w:rsid w:val="006555F2"/>
    <w:rsid w:val="00655B03"/>
    <w:rsid w:val="00657593"/>
    <w:rsid w:val="00657E1F"/>
    <w:rsid w:val="00670C95"/>
    <w:rsid w:val="0067780A"/>
    <w:rsid w:val="00681C95"/>
    <w:rsid w:val="00686F0D"/>
    <w:rsid w:val="00691388"/>
    <w:rsid w:val="006925CE"/>
    <w:rsid w:val="00692B23"/>
    <w:rsid w:val="00692C8C"/>
    <w:rsid w:val="00697EB8"/>
    <w:rsid w:val="006B2748"/>
    <w:rsid w:val="006B328C"/>
    <w:rsid w:val="006B465F"/>
    <w:rsid w:val="006B609D"/>
    <w:rsid w:val="006B7E96"/>
    <w:rsid w:val="006C06A1"/>
    <w:rsid w:val="006C097D"/>
    <w:rsid w:val="006C0F22"/>
    <w:rsid w:val="006C13B1"/>
    <w:rsid w:val="006C4176"/>
    <w:rsid w:val="006C66EF"/>
    <w:rsid w:val="006C7541"/>
    <w:rsid w:val="006D2617"/>
    <w:rsid w:val="006E191C"/>
    <w:rsid w:val="006E2E6D"/>
    <w:rsid w:val="006F3F34"/>
    <w:rsid w:val="006F634D"/>
    <w:rsid w:val="0070047B"/>
    <w:rsid w:val="00700AA3"/>
    <w:rsid w:val="007113FD"/>
    <w:rsid w:val="007142BA"/>
    <w:rsid w:val="00714823"/>
    <w:rsid w:val="00717197"/>
    <w:rsid w:val="0071789F"/>
    <w:rsid w:val="00722D69"/>
    <w:rsid w:val="00723F9F"/>
    <w:rsid w:val="00725F7E"/>
    <w:rsid w:val="00730088"/>
    <w:rsid w:val="00733F3C"/>
    <w:rsid w:val="007341A3"/>
    <w:rsid w:val="00740B45"/>
    <w:rsid w:val="007439BB"/>
    <w:rsid w:val="007443EA"/>
    <w:rsid w:val="00746234"/>
    <w:rsid w:val="00747222"/>
    <w:rsid w:val="00750898"/>
    <w:rsid w:val="00752751"/>
    <w:rsid w:val="0076293E"/>
    <w:rsid w:val="007667A1"/>
    <w:rsid w:val="00773559"/>
    <w:rsid w:val="007768C4"/>
    <w:rsid w:val="00776B92"/>
    <w:rsid w:val="00777C55"/>
    <w:rsid w:val="0078127A"/>
    <w:rsid w:val="00783AF2"/>
    <w:rsid w:val="00787E46"/>
    <w:rsid w:val="00792636"/>
    <w:rsid w:val="007A2BCB"/>
    <w:rsid w:val="007A2BF5"/>
    <w:rsid w:val="007A6609"/>
    <w:rsid w:val="007B3538"/>
    <w:rsid w:val="007B7B73"/>
    <w:rsid w:val="007C12D3"/>
    <w:rsid w:val="007C1AA0"/>
    <w:rsid w:val="007C2CED"/>
    <w:rsid w:val="007C5288"/>
    <w:rsid w:val="007E3EDB"/>
    <w:rsid w:val="007F4026"/>
    <w:rsid w:val="007F691F"/>
    <w:rsid w:val="008001B7"/>
    <w:rsid w:val="00802988"/>
    <w:rsid w:val="00806DC5"/>
    <w:rsid w:val="008112A6"/>
    <w:rsid w:val="00811616"/>
    <w:rsid w:val="008331AC"/>
    <w:rsid w:val="00836918"/>
    <w:rsid w:val="00837221"/>
    <w:rsid w:val="008415A0"/>
    <w:rsid w:val="008528D4"/>
    <w:rsid w:val="0085364B"/>
    <w:rsid w:val="00866993"/>
    <w:rsid w:val="00867138"/>
    <w:rsid w:val="00872672"/>
    <w:rsid w:val="00872AB0"/>
    <w:rsid w:val="00873583"/>
    <w:rsid w:val="00874366"/>
    <w:rsid w:val="008762D8"/>
    <w:rsid w:val="00877374"/>
    <w:rsid w:val="00882332"/>
    <w:rsid w:val="0089084D"/>
    <w:rsid w:val="00892D4C"/>
    <w:rsid w:val="00897035"/>
    <w:rsid w:val="008A0755"/>
    <w:rsid w:val="008A44A0"/>
    <w:rsid w:val="008B1589"/>
    <w:rsid w:val="008B5AB4"/>
    <w:rsid w:val="008B74DD"/>
    <w:rsid w:val="008C6601"/>
    <w:rsid w:val="008C72B5"/>
    <w:rsid w:val="008D10FD"/>
    <w:rsid w:val="008D122F"/>
    <w:rsid w:val="008D5F60"/>
    <w:rsid w:val="008D727F"/>
    <w:rsid w:val="008E1B8E"/>
    <w:rsid w:val="008E6764"/>
    <w:rsid w:val="008F0210"/>
    <w:rsid w:val="008F2600"/>
    <w:rsid w:val="008F4BE7"/>
    <w:rsid w:val="008F5D52"/>
    <w:rsid w:val="008F60E0"/>
    <w:rsid w:val="009046BC"/>
    <w:rsid w:val="00904F17"/>
    <w:rsid w:val="00911728"/>
    <w:rsid w:val="00922966"/>
    <w:rsid w:val="0092710A"/>
    <w:rsid w:val="00930A0A"/>
    <w:rsid w:val="00937341"/>
    <w:rsid w:val="00937AE3"/>
    <w:rsid w:val="00937D24"/>
    <w:rsid w:val="00943175"/>
    <w:rsid w:val="00954131"/>
    <w:rsid w:val="00956D26"/>
    <w:rsid w:val="0095741D"/>
    <w:rsid w:val="00964BE3"/>
    <w:rsid w:val="00971650"/>
    <w:rsid w:val="0097288F"/>
    <w:rsid w:val="0098207E"/>
    <w:rsid w:val="00984B84"/>
    <w:rsid w:val="00990AAE"/>
    <w:rsid w:val="00993A75"/>
    <w:rsid w:val="00993E4E"/>
    <w:rsid w:val="009A10E7"/>
    <w:rsid w:val="009B3541"/>
    <w:rsid w:val="009B41C5"/>
    <w:rsid w:val="009B6120"/>
    <w:rsid w:val="009C2F76"/>
    <w:rsid w:val="009C5DEB"/>
    <w:rsid w:val="009C632E"/>
    <w:rsid w:val="009D537A"/>
    <w:rsid w:val="009F5312"/>
    <w:rsid w:val="00A02AEC"/>
    <w:rsid w:val="00A0594A"/>
    <w:rsid w:val="00A11B38"/>
    <w:rsid w:val="00A12C47"/>
    <w:rsid w:val="00A21708"/>
    <w:rsid w:val="00A23E04"/>
    <w:rsid w:val="00A32DA7"/>
    <w:rsid w:val="00A40702"/>
    <w:rsid w:val="00A41ECE"/>
    <w:rsid w:val="00A42F50"/>
    <w:rsid w:val="00A45DCD"/>
    <w:rsid w:val="00A46C15"/>
    <w:rsid w:val="00A50DC0"/>
    <w:rsid w:val="00A5106A"/>
    <w:rsid w:val="00A63695"/>
    <w:rsid w:val="00A72F06"/>
    <w:rsid w:val="00A730F2"/>
    <w:rsid w:val="00A77FFD"/>
    <w:rsid w:val="00A82F91"/>
    <w:rsid w:val="00A82FA0"/>
    <w:rsid w:val="00A9146F"/>
    <w:rsid w:val="00A96E4D"/>
    <w:rsid w:val="00AB062E"/>
    <w:rsid w:val="00AB2E6E"/>
    <w:rsid w:val="00AB3F81"/>
    <w:rsid w:val="00AB4554"/>
    <w:rsid w:val="00AC2472"/>
    <w:rsid w:val="00AC47B6"/>
    <w:rsid w:val="00AC5537"/>
    <w:rsid w:val="00AD1E85"/>
    <w:rsid w:val="00AD5BF5"/>
    <w:rsid w:val="00AD7DF9"/>
    <w:rsid w:val="00AE29BB"/>
    <w:rsid w:val="00AE2CAF"/>
    <w:rsid w:val="00AE47C6"/>
    <w:rsid w:val="00AE55E8"/>
    <w:rsid w:val="00AF33D9"/>
    <w:rsid w:val="00AF485F"/>
    <w:rsid w:val="00B002E4"/>
    <w:rsid w:val="00B01D0D"/>
    <w:rsid w:val="00B16002"/>
    <w:rsid w:val="00B332B2"/>
    <w:rsid w:val="00B34CCC"/>
    <w:rsid w:val="00B367AF"/>
    <w:rsid w:val="00B36860"/>
    <w:rsid w:val="00B36EC7"/>
    <w:rsid w:val="00B36EDD"/>
    <w:rsid w:val="00B40B77"/>
    <w:rsid w:val="00B444D1"/>
    <w:rsid w:val="00B506E4"/>
    <w:rsid w:val="00B55120"/>
    <w:rsid w:val="00B610F2"/>
    <w:rsid w:val="00B61C97"/>
    <w:rsid w:val="00B628C5"/>
    <w:rsid w:val="00B710CD"/>
    <w:rsid w:val="00B71933"/>
    <w:rsid w:val="00B740E1"/>
    <w:rsid w:val="00B744FC"/>
    <w:rsid w:val="00B76281"/>
    <w:rsid w:val="00B8078D"/>
    <w:rsid w:val="00B80ABD"/>
    <w:rsid w:val="00B85DAC"/>
    <w:rsid w:val="00B9486D"/>
    <w:rsid w:val="00B95632"/>
    <w:rsid w:val="00BB305A"/>
    <w:rsid w:val="00BB5A6A"/>
    <w:rsid w:val="00BC067B"/>
    <w:rsid w:val="00BD12A3"/>
    <w:rsid w:val="00BD1E5A"/>
    <w:rsid w:val="00BD6D34"/>
    <w:rsid w:val="00BD7F6E"/>
    <w:rsid w:val="00BE1D16"/>
    <w:rsid w:val="00BE2D79"/>
    <w:rsid w:val="00BF47B0"/>
    <w:rsid w:val="00BF526A"/>
    <w:rsid w:val="00BF5327"/>
    <w:rsid w:val="00C04D5F"/>
    <w:rsid w:val="00C06A36"/>
    <w:rsid w:val="00C156E6"/>
    <w:rsid w:val="00C21D33"/>
    <w:rsid w:val="00C327E8"/>
    <w:rsid w:val="00C3382F"/>
    <w:rsid w:val="00C4377C"/>
    <w:rsid w:val="00C43C40"/>
    <w:rsid w:val="00C47F0F"/>
    <w:rsid w:val="00C51D84"/>
    <w:rsid w:val="00C52506"/>
    <w:rsid w:val="00C54125"/>
    <w:rsid w:val="00C55B41"/>
    <w:rsid w:val="00C82124"/>
    <w:rsid w:val="00C82259"/>
    <w:rsid w:val="00C865CD"/>
    <w:rsid w:val="00C917DB"/>
    <w:rsid w:val="00C9297C"/>
    <w:rsid w:val="00C94014"/>
    <w:rsid w:val="00CB0A99"/>
    <w:rsid w:val="00CB31BE"/>
    <w:rsid w:val="00CB5A09"/>
    <w:rsid w:val="00CB69B4"/>
    <w:rsid w:val="00CC7FA4"/>
    <w:rsid w:val="00CD0A0F"/>
    <w:rsid w:val="00CD0CD4"/>
    <w:rsid w:val="00CE3B9F"/>
    <w:rsid w:val="00CE75FD"/>
    <w:rsid w:val="00CF1FB8"/>
    <w:rsid w:val="00CF2C65"/>
    <w:rsid w:val="00D02ADD"/>
    <w:rsid w:val="00D0627E"/>
    <w:rsid w:val="00D06E95"/>
    <w:rsid w:val="00D078B6"/>
    <w:rsid w:val="00D1022C"/>
    <w:rsid w:val="00D171F9"/>
    <w:rsid w:val="00D20605"/>
    <w:rsid w:val="00D221A7"/>
    <w:rsid w:val="00D27115"/>
    <w:rsid w:val="00D34DCC"/>
    <w:rsid w:val="00D446D4"/>
    <w:rsid w:val="00D5266C"/>
    <w:rsid w:val="00D61D9B"/>
    <w:rsid w:val="00D653A2"/>
    <w:rsid w:val="00D82180"/>
    <w:rsid w:val="00D83B58"/>
    <w:rsid w:val="00D85152"/>
    <w:rsid w:val="00D85ECF"/>
    <w:rsid w:val="00DA2F09"/>
    <w:rsid w:val="00DC10B7"/>
    <w:rsid w:val="00DC1E60"/>
    <w:rsid w:val="00DC6A9A"/>
    <w:rsid w:val="00DD1736"/>
    <w:rsid w:val="00DD4661"/>
    <w:rsid w:val="00DD60CC"/>
    <w:rsid w:val="00DF4D12"/>
    <w:rsid w:val="00DF572F"/>
    <w:rsid w:val="00E038C5"/>
    <w:rsid w:val="00E054A9"/>
    <w:rsid w:val="00E073A7"/>
    <w:rsid w:val="00E10AE2"/>
    <w:rsid w:val="00E10F0A"/>
    <w:rsid w:val="00E135CA"/>
    <w:rsid w:val="00E141E0"/>
    <w:rsid w:val="00E21875"/>
    <w:rsid w:val="00E25407"/>
    <w:rsid w:val="00E32599"/>
    <w:rsid w:val="00E33B0E"/>
    <w:rsid w:val="00E42621"/>
    <w:rsid w:val="00E446A6"/>
    <w:rsid w:val="00E53CB5"/>
    <w:rsid w:val="00E53CCD"/>
    <w:rsid w:val="00E62607"/>
    <w:rsid w:val="00E64D87"/>
    <w:rsid w:val="00E658A0"/>
    <w:rsid w:val="00E71855"/>
    <w:rsid w:val="00E719A9"/>
    <w:rsid w:val="00E8083B"/>
    <w:rsid w:val="00EA1855"/>
    <w:rsid w:val="00EA1DE4"/>
    <w:rsid w:val="00EA60EA"/>
    <w:rsid w:val="00EA72D0"/>
    <w:rsid w:val="00EB0714"/>
    <w:rsid w:val="00EB29BF"/>
    <w:rsid w:val="00EB2E4E"/>
    <w:rsid w:val="00EB50FD"/>
    <w:rsid w:val="00EC03AE"/>
    <w:rsid w:val="00EC324F"/>
    <w:rsid w:val="00EC338C"/>
    <w:rsid w:val="00EC7C7F"/>
    <w:rsid w:val="00ED1349"/>
    <w:rsid w:val="00ED6115"/>
    <w:rsid w:val="00EF4B42"/>
    <w:rsid w:val="00EF79DC"/>
    <w:rsid w:val="00F003D3"/>
    <w:rsid w:val="00F008AB"/>
    <w:rsid w:val="00F03E32"/>
    <w:rsid w:val="00F075AD"/>
    <w:rsid w:val="00F206BE"/>
    <w:rsid w:val="00F20EA1"/>
    <w:rsid w:val="00F2199C"/>
    <w:rsid w:val="00F31D7C"/>
    <w:rsid w:val="00F36B72"/>
    <w:rsid w:val="00F42289"/>
    <w:rsid w:val="00F42E75"/>
    <w:rsid w:val="00F45D65"/>
    <w:rsid w:val="00F504F3"/>
    <w:rsid w:val="00F505C1"/>
    <w:rsid w:val="00F507F1"/>
    <w:rsid w:val="00F517FA"/>
    <w:rsid w:val="00F52D16"/>
    <w:rsid w:val="00F547F2"/>
    <w:rsid w:val="00F62D67"/>
    <w:rsid w:val="00F63603"/>
    <w:rsid w:val="00F63BD9"/>
    <w:rsid w:val="00F6694C"/>
    <w:rsid w:val="00F66C42"/>
    <w:rsid w:val="00F67BDD"/>
    <w:rsid w:val="00F717DD"/>
    <w:rsid w:val="00F75637"/>
    <w:rsid w:val="00F8145F"/>
    <w:rsid w:val="00F8517F"/>
    <w:rsid w:val="00F9283D"/>
    <w:rsid w:val="00F93C70"/>
    <w:rsid w:val="00F96F18"/>
    <w:rsid w:val="00FA12E0"/>
    <w:rsid w:val="00FA3F3D"/>
    <w:rsid w:val="00FA508E"/>
    <w:rsid w:val="00FA5320"/>
    <w:rsid w:val="00FA6554"/>
    <w:rsid w:val="00FA7846"/>
    <w:rsid w:val="00FB0961"/>
    <w:rsid w:val="00FB0B7F"/>
    <w:rsid w:val="00FC26E5"/>
    <w:rsid w:val="00FC34B0"/>
    <w:rsid w:val="00FD19F1"/>
    <w:rsid w:val="00FD1E5A"/>
    <w:rsid w:val="00FD370F"/>
    <w:rsid w:val="00FD3F65"/>
    <w:rsid w:val="00FD570E"/>
    <w:rsid w:val="00FE0B90"/>
    <w:rsid w:val="00FF37EB"/>
    <w:rsid w:val="00FF4C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29B536"/>
  <w15:docId w15:val="{85EB722D-A2EB-444C-B71C-8614665A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3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paragraph" w:styleId="af4">
    <w:name w:val="footnote text"/>
    <w:basedOn w:val="a"/>
    <w:link w:val="af5"/>
    <w:uiPriority w:val="99"/>
    <w:semiHidden/>
    <w:unhideWhenUsed/>
    <w:rsid w:val="00E135CA"/>
    <w:pPr>
      <w:jc w:val="left"/>
    </w:pPr>
    <w:rPr>
      <w:rFonts w:ascii="Calibri" w:eastAsia="Calibri" w:hAnsi="Calibri"/>
      <w:sz w:val="20"/>
      <w:szCs w:val="20"/>
      <w:lang w:eastAsia="en-US"/>
    </w:rPr>
  </w:style>
  <w:style w:type="character" w:customStyle="1" w:styleId="af5">
    <w:name w:val="Текст виноски Знак"/>
    <w:basedOn w:val="a0"/>
    <w:link w:val="af4"/>
    <w:uiPriority w:val="99"/>
    <w:semiHidden/>
    <w:rsid w:val="00E135CA"/>
    <w:rPr>
      <w:rFonts w:ascii="Calibri" w:eastAsia="Calibri" w:hAnsi="Calibri" w:cs="Times New Roman"/>
      <w:sz w:val="20"/>
      <w:szCs w:val="20"/>
    </w:rPr>
  </w:style>
  <w:style w:type="character" w:styleId="af6">
    <w:name w:val="footnote reference"/>
    <w:uiPriority w:val="99"/>
    <w:semiHidden/>
    <w:unhideWhenUsed/>
    <w:rsid w:val="00E135CA"/>
    <w:rPr>
      <w:vertAlign w:val="superscript"/>
    </w:rPr>
  </w:style>
  <w:style w:type="paragraph" w:customStyle="1" w:styleId="Default">
    <w:name w:val="Default"/>
    <w:rsid w:val="00D82180"/>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af7">
    <w:name w:val="annotation reference"/>
    <w:basedOn w:val="a0"/>
    <w:uiPriority w:val="99"/>
    <w:semiHidden/>
    <w:unhideWhenUsed/>
    <w:rsid w:val="004E5E7F"/>
    <w:rPr>
      <w:sz w:val="16"/>
      <w:szCs w:val="16"/>
    </w:rPr>
  </w:style>
  <w:style w:type="paragraph" w:styleId="af8">
    <w:name w:val="annotation text"/>
    <w:basedOn w:val="a"/>
    <w:link w:val="af9"/>
    <w:uiPriority w:val="99"/>
    <w:semiHidden/>
    <w:unhideWhenUsed/>
    <w:rsid w:val="004E5E7F"/>
    <w:rPr>
      <w:sz w:val="20"/>
      <w:szCs w:val="20"/>
    </w:rPr>
  </w:style>
  <w:style w:type="character" w:customStyle="1" w:styleId="af9">
    <w:name w:val="Текст примітки Знак"/>
    <w:basedOn w:val="a0"/>
    <w:link w:val="af8"/>
    <w:uiPriority w:val="99"/>
    <w:semiHidden/>
    <w:rsid w:val="004E5E7F"/>
    <w:rPr>
      <w:rFonts w:ascii="Times New Roman" w:hAnsi="Times New Roman" w:cs="Times New Roman"/>
      <w:sz w:val="20"/>
      <w:szCs w:val="20"/>
      <w:lang w:eastAsia="uk-UA"/>
    </w:rPr>
  </w:style>
  <w:style w:type="paragraph" w:styleId="afa">
    <w:name w:val="annotation subject"/>
    <w:basedOn w:val="af8"/>
    <w:next w:val="af8"/>
    <w:link w:val="afb"/>
    <w:uiPriority w:val="99"/>
    <w:semiHidden/>
    <w:unhideWhenUsed/>
    <w:rsid w:val="004E5E7F"/>
    <w:rPr>
      <w:b/>
      <w:bCs/>
    </w:rPr>
  </w:style>
  <w:style w:type="character" w:customStyle="1" w:styleId="afb">
    <w:name w:val="Тема примітки Знак"/>
    <w:basedOn w:val="af9"/>
    <w:link w:val="afa"/>
    <w:uiPriority w:val="99"/>
    <w:semiHidden/>
    <w:rsid w:val="004E5E7F"/>
    <w:rPr>
      <w:rFonts w:ascii="Times New Roman" w:hAnsi="Times New Roman" w:cs="Times New Roman"/>
      <w:b/>
      <w:bCs/>
      <w:sz w:val="20"/>
      <w:szCs w:val="20"/>
      <w:lang w:eastAsia="uk-UA"/>
    </w:rPr>
  </w:style>
  <w:style w:type="paragraph" w:styleId="afc">
    <w:name w:val="Revision"/>
    <w:hidden/>
    <w:uiPriority w:val="99"/>
    <w:semiHidden/>
    <w:rsid w:val="000B06F1"/>
    <w:pPr>
      <w:spacing w:after="0" w:line="240" w:lineRule="auto"/>
    </w:pPr>
    <w:rPr>
      <w:rFonts w:ascii="Times New Roman" w:hAnsi="Times New Roman" w:cs="Times New Roman"/>
      <w:sz w:val="28"/>
      <w:szCs w:val="28"/>
      <w:lang w:eastAsia="uk-UA"/>
    </w:rPr>
  </w:style>
  <w:style w:type="paragraph" w:styleId="afd">
    <w:name w:val="endnote text"/>
    <w:basedOn w:val="a"/>
    <w:link w:val="afe"/>
    <w:uiPriority w:val="99"/>
    <w:semiHidden/>
    <w:unhideWhenUsed/>
    <w:rsid w:val="00691388"/>
    <w:rPr>
      <w:sz w:val="20"/>
      <w:szCs w:val="20"/>
    </w:rPr>
  </w:style>
  <w:style w:type="character" w:customStyle="1" w:styleId="afe">
    <w:name w:val="Текст кінцевої виноски Знак"/>
    <w:basedOn w:val="a0"/>
    <w:link w:val="afd"/>
    <w:uiPriority w:val="99"/>
    <w:semiHidden/>
    <w:rsid w:val="00691388"/>
    <w:rPr>
      <w:rFonts w:ascii="Times New Roman" w:hAnsi="Times New Roman" w:cs="Times New Roman"/>
      <w:sz w:val="20"/>
      <w:szCs w:val="20"/>
      <w:lang w:eastAsia="uk-UA"/>
    </w:rPr>
  </w:style>
  <w:style w:type="character" w:styleId="aff">
    <w:name w:val="endnote reference"/>
    <w:basedOn w:val="a0"/>
    <w:uiPriority w:val="99"/>
    <w:semiHidden/>
    <w:unhideWhenUsed/>
    <w:rsid w:val="00691388"/>
    <w:rPr>
      <w:vertAlign w:val="superscript"/>
    </w:rPr>
  </w:style>
  <w:style w:type="table" w:customStyle="1" w:styleId="3">
    <w:name w:val="Сітка таблиці3"/>
    <w:basedOn w:val="a1"/>
    <w:next w:val="a9"/>
    <w:uiPriority w:val="59"/>
    <w:rsid w:val="006B609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177B1C"/>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4.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7874B18-0A8D-44C2-9655-56E8B1B82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6382</Words>
  <Characters>3638</Characters>
  <Application>Microsoft Office Word</Application>
  <DocSecurity>0</DocSecurity>
  <Lines>30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1a4506</dc:creator>
  <cp:lastModifiedBy>Дудніченко Артур Олегович</cp:lastModifiedBy>
  <cp:revision>9</cp:revision>
  <cp:lastPrinted>2024-08-26T06:54:00Z</cp:lastPrinted>
  <dcterms:created xsi:type="dcterms:W3CDTF">2024-08-23T07:35:00Z</dcterms:created>
  <dcterms:modified xsi:type="dcterms:W3CDTF">2024-08-26T07:12:00Z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