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E9266" w14:textId="77777777" w:rsidR="00FA7846" w:rsidRPr="00CD0CD4" w:rsidRDefault="00FA7846" w:rsidP="00FA7846">
      <w:pPr>
        <w:rPr>
          <w:sz w:val="2"/>
          <w:szCs w:val="2"/>
        </w:rPr>
      </w:pPr>
    </w:p>
    <w:p w14:paraId="64435E92" w14:textId="77777777" w:rsidR="00657593" w:rsidRPr="00566BA2" w:rsidRDefault="00657593" w:rsidP="00657593">
      <w:pPr>
        <w:rPr>
          <w:sz w:val="2"/>
          <w:szCs w:val="2"/>
          <w:lang w:val="en-US"/>
        </w:rPr>
      </w:pPr>
    </w:p>
    <w:p w14:paraId="79C73483" w14:textId="640604E1" w:rsidR="001D50D7" w:rsidRPr="001D50D7" w:rsidRDefault="001D50D7" w:rsidP="0081181B">
      <w:pPr>
        <w:pStyle w:val="afb"/>
        <w:keepNext/>
        <w:spacing w:after="0"/>
        <w:jc w:val="right"/>
        <w:rPr>
          <w:i w:val="0"/>
          <w:sz w:val="28"/>
          <w:szCs w:val="28"/>
        </w:rPr>
      </w:pPr>
      <w:r w:rsidRPr="001D50D7">
        <w:rPr>
          <w:i w:val="0"/>
          <w:color w:val="auto"/>
          <w:sz w:val="28"/>
          <w:szCs w:val="28"/>
        </w:rPr>
        <w:t xml:space="preserve">Офіційно опубліковано </w:t>
      </w:r>
      <w:r w:rsidR="00FF4869">
        <w:rPr>
          <w:i w:val="0"/>
          <w:color w:val="auto"/>
          <w:sz w:val="28"/>
          <w:szCs w:val="28"/>
        </w:rPr>
        <w:t>2</w:t>
      </w:r>
      <w:r w:rsidR="00645118">
        <w:rPr>
          <w:i w:val="0"/>
          <w:color w:val="auto"/>
          <w:sz w:val="28"/>
          <w:szCs w:val="28"/>
        </w:rPr>
        <w:t>6</w:t>
      </w:r>
      <w:r w:rsidRPr="001D50D7">
        <w:rPr>
          <w:i w:val="0"/>
          <w:color w:val="auto"/>
          <w:sz w:val="28"/>
          <w:szCs w:val="28"/>
        </w:rPr>
        <w:t>.0</w:t>
      </w:r>
      <w:r w:rsidR="00962DB5">
        <w:rPr>
          <w:i w:val="0"/>
          <w:color w:val="auto"/>
          <w:sz w:val="28"/>
          <w:szCs w:val="28"/>
        </w:rPr>
        <w:t>9</w:t>
      </w:r>
      <w:r w:rsidRPr="001D50D7">
        <w:rPr>
          <w:i w:val="0"/>
          <w:color w:val="auto"/>
          <w:sz w:val="28"/>
          <w:szCs w:val="28"/>
        </w:rPr>
        <w:t>.2022</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4F38E6" w14:paraId="3A827EB5" w14:textId="77777777" w:rsidTr="001D50D7">
        <w:trPr>
          <w:trHeight w:val="851"/>
        </w:trPr>
        <w:tc>
          <w:tcPr>
            <w:tcW w:w="3207" w:type="dxa"/>
          </w:tcPr>
          <w:p w14:paraId="078FE946" w14:textId="77777777" w:rsidR="00657593" w:rsidRDefault="00657593" w:rsidP="00E054A9"/>
        </w:tc>
        <w:tc>
          <w:tcPr>
            <w:tcW w:w="3227" w:type="dxa"/>
            <w:vMerge w:val="restart"/>
          </w:tcPr>
          <w:p w14:paraId="36F4DAED" w14:textId="77777777" w:rsidR="00657593" w:rsidRDefault="001E7428" w:rsidP="00E054A9">
            <w:pPr>
              <w:jc w:val="center"/>
            </w:pPr>
            <w:r>
              <w:object w:dxaOrig="689" w:dyaOrig="950" w14:anchorId="28F26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6.5pt" o:ole="">
                  <v:imagedata r:id="rId12" o:title=""/>
                </v:shape>
                <o:OLEObject Type="Embed" ProgID="CorelDraw.Graphic.16" ShapeID="_x0000_i1025" DrawAspect="Content" ObjectID="_1725458430" r:id="rId13"/>
              </w:object>
            </w:r>
          </w:p>
        </w:tc>
        <w:tc>
          <w:tcPr>
            <w:tcW w:w="3204" w:type="dxa"/>
          </w:tcPr>
          <w:p w14:paraId="6A7F8E49" w14:textId="77777777" w:rsidR="00657593" w:rsidRDefault="00657593" w:rsidP="00E054A9"/>
        </w:tc>
      </w:tr>
      <w:tr w:rsidR="004F38E6" w14:paraId="2F7EB640" w14:textId="77777777" w:rsidTr="001D50D7">
        <w:tc>
          <w:tcPr>
            <w:tcW w:w="3207" w:type="dxa"/>
          </w:tcPr>
          <w:p w14:paraId="3B43A6B8" w14:textId="77777777" w:rsidR="00657593" w:rsidRDefault="00657593" w:rsidP="00E054A9"/>
        </w:tc>
        <w:tc>
          <w:tcPr>
            <w:tcW w:w="3227" w:type="dxa"/>
            <w:vMerge/>
          </w:tcPr>
          <w:p w14:paraId="2D5FA6D4" w14:textId="77777777" w:rsidR="00657593" w:rsidRDefault="00657593" w:rsidP="00E054A9"/>
        </w:tc>
        <w:tc>
          <w:tcPr>
            <w:tcW w:w="3204" w:type="dxa"/>
          </w:tcPr>
          <w:p w14:paraId="498FDF84" w14:textId="77777777" w:rsidR="00657593" w:rsidRDefault="00657593" w:rsidP="00E054A9"/>
        </w:tc>
      </w:tr>
      <w:tr w:rsidR="004F38E6" w14:paraId="0C2B0AD0" w14:textId="77777777" w:rsidTr="001D50D7">
        <w:tc>
          <w:tcPr>
            <w:tcW w:w="9638" w:type="dxa"/>
            <w:gridSpan w:val="3"/>
          </w:tcPr>
          <w:p w14:paraId="2B229349" w14:textId="77777777" w:rsidR="00657593" w:rsidRPr="00E10F0A" w:rsidRDefault="001E7428"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68792FC8" w14:textId="77777777" w:rsidR="00657593" w:rsidRDefault="001E7428" w:rsidP="00E054A9">
            <w:pPr>
              <w:jc w:val="center"/>
            </w:pPr>
            <w:r w:rsidRPr="00E10F0A">
              <w:rPr>
                <w:b/>
                <w:bCs/>
                <w:color w:val="006600"/>
                <w:sz w:val="32"/>
                <w:szCs w:val="32"/>
              </w:rPr>
              <w:t>П О С Т А Н О В А</w:t>
            </w:r>
          </w:p>
        </w:tc>
      </w:tr>
    </w:tbl>
    <w:p w14:paraId="6A4A8A67"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635"/>
        <w:gridCol w:w="1668"/>
        <w:gridCol w:w="1897"/>
      </w:tblGrid>
      <w:tr w:rsidR="004F38E6" w14:paraId="13D36E92" w14:textId="77777777" w:rsidTr="00AB062E">
        <w:tc>
          <w:tcPr>
            <w:tcW w:w="3510" w:type="dxa"/>
            <w:vAlign w:val="bottom"/>
          </w:tcPr>
          <w:p w14:paraId="48AC7E24" w14:textId="5819EFC5" w:rsidR="00657593" w:rsidRPr="00566BA2" w:rsidRDefault="00962DB5" w:rsidP="00E054A9">
            <w:r>
              <w:t>2</w:t>
            </w:r>
            <w:r w:rsidR="00467E9A">
              <w:t>3</w:t>
            </w:r>
            <w:r w:rsidR="00750D89">
              <w:t xml:space="preserve"> </w:t>
            </w:r>
            <w:r>
              <w:t>вересня</w:t>
            </w:r>
            <w:r w:rsidR="00750D89">
              <w:t xml:space="preserve"> 2022 року</w:t>
            </w:r>
          </w:p>
        </w:tc>
        <w:tc>
          <w:tcPr>
            <w:tcW w:w="2694" w:type="dxa"/>
          </w:tcPr>
          <w:p w14:paraId="1C6FF410" w14:textId="77777777" w:rsidR="00657593" w:rsidRDefault="001E7428" w:rsidP="00E62607">
            <w:pPr>
              <w:spacing w:before="240"/>
              <w:jc w:val="center"/>
            </w:pPr>
            <w:r w:rsidRPr="00E10F0A">
              <w:rPr>
                <w:color w:val="006600"/>
              </w:rPr>
              <w:t>Київ</w:t>
            </w:r>
          </w:p>
        </w:tc>
        <w:tc>
          <w:tcPr>
            <w:tcW w:w="1713" w:type="dxa"/>
            <w:vAlign w:val="bottom"/>
          </w:tcPr>
          <w:p w14:paraId="0DF2BA25" w14:textId="77777777" w:rsidR="00657593" w:rsidRDefault="00657593" w:rsidP="00E62607">
            <w:pPr>
              <w:jc w:val="right"/>
            </w:pPr>
          </w:p>
        </w:tc>
        <w:tc>
          <w:tcPr>
            <w:tcW w:w="1937" w:type="dxa"/>
            <w:vAlign w:val="bottom"/>
          </w:tcPr>
          <w:p w14:paraId="33DBD6FD" w14:textId="359AC033" w:rsidR="00657593" w:rsidRDefault="00750D89" w:rsidP="00290169">
            <w:pPr>
              <w:jc w:val="left"/>
            </w:pPr>
            <w:r>
              <w:t xml:space="preserve">№ </w:t>
            </w:r>
            <w:r w:rsidR="00962DB5">
              <w:t>20</w:t>
            </w:r>
            <w:r w:rsidR="00467E9A">
              <w:t>7</w:t>
            </w:r>
          </w:p>
        </w:tc>
      </w:tr>
    </w:tbl>
    <w:p w14:paraId="31459588" w14:textId="77777777" w:rsidR="00657593" w:rsidRPr="00CD0CD4" w:rsidRDefault="00657593" w:rsidP="00657593">
      <w:pPr>
        <w:rPr>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4F38E6" w14:paraId="605E1DFC" w14:textId="77777777" w:rsidTr="005212C5">
        <w:trPr>
          <w:jc w:val="center"/>
        </w:trPr>
        <w:tc>
          <w:tcPr>
            <w:tcW w:w="5000" w:type="pct"/>
          </w:tcPr>
          <w:p w14:paraId="1B9C9072" w14:textId="77777777" w:rsidR="002B3F71" w:rsidRPr="00CD0CD4" w:rsidRDefault="007D04BD" w:rsidP="000F095F">
            <w:pPr>
              <w:tabs>
                <w:tab w:val="left" w:pos="840"/>
                <w:tab w:val="center" w:pos="3293"/>
              </w:tabs>
              <w:spacing w:before="240" w:after="240"/>
              <w:jc w:val="center"/>
              <w:rPr>
                <w:rFonts w:eastAsiaTheme="minorEastAsia"/>
                <w:color w:val="000000" w:themeColor="text1"/>
                <w:lang w:eastAsia="en-US"/>
              </w:rPr>
            </w:pPr>
            <w:r>
              <w:rPr>
                <w:rFonts w:eastAsiaTheme="minorEastAsia"/>
                <w:color w:val="000000" w:themeColor="text1"/>
                <w:lang w:eastAsia="en-US"/>
              </w:rPr>
              <w:t>Про внесення змін</w:t>
            </w:r>
            <w:r w:rsidR="000F095F">
              <w:rPr>
                <w:rFonts w:eastAsiaTheme="minorEastAsia"/>
                <w:color w:val="000000" w:themeColor="text1"/>
                <w:lang w:eastAsia="en-US"/>
              </w:rPr>
              <w:t xml:space="preserve"> до Положення про організацію готівкового обігу і ведення </w:t>
            </w:r>
            <w:proofErr w:type="spellStart"/>
            <w:r w:rsidR="000F095F">
              <w:rPr>
                <w:rFonts w:eastAsiaTheme="minorEastAsia"/>
                <w:color w:val="000000" w:themeColor="text1"/>
                <w:lang w:eastAsia="en-US"/>
              </w:rPr>
              <w:t>емісійно</w:t>
            </w:r>
            <w:proofErr w:type="spellEnd"/>
            <w:r w:rsidR="000F095F">
              <w:rPr>
                <w:rFonts w:eastAsiaTheme="minorEastAsia"/>
                <w:color w:val="000000" w:themeColor="text1"/>
                <w:lang w:eastAsia="en-US"/>
              </w:rPr>
              <w:t>-касових операцій у банківській системі в особливий період</w:t>
            </w:r>
          </w:p>
        </w:tc>
      </w:tr>
    </w:tbl>
    <w:p w14:paraId="2E4F8472" w14:textId="77777777" w:rsidR="00962DB5" w:rsidRDefault="00962DB5" w:rsidP="00962DB5">
      <w:pPr>
        <w:spacing w:before="240" w:after="240"/>
        <w:ind w:firstLine="567"/>
        <w:rPr>
          <w:b/>
        </w:rPr>
      </w:pPr>
      <w:r>
        <w:rPr>
          <w:rFonts w:eastAsiaTheme="minorEastAsia"/>
          <w:color w:val="000000" w:themeColor="text1"/>
          <w:lang w:eastAsia="en-US"/>
        </w:rPr>
        <w:t xml:space="preserve">Відповідно до статей 7, 15, 33, 56 Закону України </w:t>
      </w:r>
      <w:r w:rsidRPr="00E343D0">
        <w:t>“</w:t>
      </w:r>
      <w:r>
        <w:rPr>
          <w:rFonts w:eastAsiaTheme="minorEastAsia"/>
          <w:color w:val="000000" w:themeColor="text1"/>
          <w:lang w:eastAsia="en-US"/>
        </w:rPr>
        <w:t>Про Національний банк України</w:t>
      </w:r>
      <w:r w:rsidRPr="00E343D0">
        <w:t>”</w:t>
      </w:r>
      <w:r w:rsidRPr="00F55A8A">
        <w:t xml:space="preserve"> </w:t>
      </w:r>
      <w:r>
        <w:t xml:space="preserve">та з метою вдосконалення організації готівкового обігу і ведення </w:t>
      </w:r>
      <w:proofErr w:type="spellStart"/>
      <w:r>
        <w:t>емісійно</w:t>
      </w:r>
      <w:proofErr w:type="spellEnd"/>
      <w:r>
        <w:t>-касових операцій у банківській</w:t>
      </w:r>
      <w:bookmarkStart w:id="0" w:name="_GoBack"/>
      <w:bookmarkEnd w:id="0"/>
      <w:r>
        <w:t xml:space="preserve"> системі в особливий період</w:t>
      </w:r>
      <w:r w:rsidRPr="00CD0CD4">
        <w:rPr>
          <w:b/>
        </w:rPr>
        <w:t xml:space="preserve"> </w:t>
      </w:r>
      <w:r w:rsidRPr="00CD0CD4">
        <w:t>Правління Національного банку України</w:t>
      </w:r>
      <w:r w:rsidRPr="00CD0CD4">
        <w:rPr>
          <w:b/>
        </w:rPr>
        <w:t xml:space="preserve"> постановляє:</w:t>
      </w:r>
    </w:p>
    <w:p w14:paraId="3B98D265" w14:textId="77777777" w:rsidR="00962DB5" w:rsidRDefault="00962DB5" w:rsidP="00962DB5">
      <w:pPr>
        <w:spacing w:before="240" w:after="240"/>
        <w:ind w:firstLine="567"/>
      </w:pPr>
      <w:r w:rsidRPr="008B1589">
        <w:rPr>
          <w:lang w:val="ru-RU"/>
        </w:rPr>
        <w:t>1.</w:t>
      </w:r>
      <w:r>
        <w:rPr>
          <w:lang w:val="en-US"/>
        </w:rPr>
        <w:t> </w:t>
      </w:r>
      <w:r>
        <w:rPr>
          <w:rFonts w:eastAsiaTheme="minorEastAsia"/>
          <w:noProof/>
          <w:color w:val="000000" w:themeColor="text1"/>
          <w:lang w:eastAsia="en-US"/>
        </w:rPr>
        <w:t>Унести до пункту 6 розділу І Положення про організацію готівкового обігу і ведення емісійно-касових операцій у банківській системі в особливий період, затвердженого постановою Правління Національного банку України від</w:t>
      </w:r>
      <w:r>
        <w:t xml:space="preserve"> 05 травня 2018 року № 51 (у редакції постанови Правління Національного банку України від 23 травня 2022 року № 104) (зі змінами), такі зміни:</w:t>
      </w:r>
    </w:p>
    <w:p w14:paraId="70CC4361" w14:textId="77777777" w:rsidR="00962DB5" w:rsidRDefault="00962DB5" w:rsidP="00962DB5">
      <w:pPr>
        <w:ind w:firstLine="567"/>
      </w:pPr>
      <w:r>
        <w:t>1) абзац перший замінити чотирма новими абзацами першим – четвертим такого змісту:</w:t>
      </w:r>
    </w:p>
    <w:p w14:paraId="6741E682" w14:textId="77777777" w:rsidR="00962DB5" w:rsidRDefault="00962DB5" w:rsidP="00962DB5">
      <w:pPr>
        <w:ind w:firstLine="567"/>
        <w:rPr>
          <w:lang w:eastAsia="ru-RU"/>
        </w:rPr>
      </w:pPr>
      <w:r w:rsidRPr="00E343D0">
        <w:t>“</w:t>
      </w:r>
      <w:r w:rsidRPr="00406616">
        <w:rPr>
          <w:lang w:val="ru-RU" w:eastAsia="ru-RU"/>
        </w:rPr>
        <w:t>6</w:t>
      </w:r>
      <w:r>
        <w:rPr>
          <w:lang w:eastAsia="ru-RU"/>
        </w:rPr>
        <w:t>. Правління Національного банку в особливий період має право прийняти рішення щодо:</w:t>
      </w:r>
    </w:p>
    <w:p w14:paraId="6634F63F" w14:textId="77777777" w:rsidR="00962DB5" w:rsidRDefault="00962DB5" w:rsidP="00962DB5">
      <w:pPr>
        <w:spacing w:before="240" w:after="240"/>
        <w:ind w:firstLine="567"/>
        <w:rPr>
          <w:lang w:eastAsia="ru-RU"/>
        </w:rPr>
      </w:pPr>
      <w:r>
        <w:rPr>
          <w:lang w:eastAsia="ru-RU"/>
        </w:rPr>
        <w:t>1) зберігання запасів готівки Національного банку у сховищах підрозділів уповноважених банків та проведення операцій з ними від імені уповноваженого банку без процедури їх реєстрації як відокремлених підрозділів банку та присвоєння внутрішньобанківського реєстраційного коду (за умови надання до Національного банку інформації щодо переліку керівних осіб уповноваженого банку, які відповідно до покладених обов’язків здійснюють контроль і несуть відповідальність за збереження запасів готівки Національного банку в таких сховищах);</w:t>
      </w:r>
    </w:p>
    <w:p w14:paraId="18D7B3BE" w14:textId="77777777" w:rsidR="00962DB5" w:rsidRDefault="00962DB5" w:rsidP="00962DB5">
      <w:pPr>
        <w:spacing w:before="240" w:after="240"/>
        <w:ind w:firstLine="567"/>
        <w:rPr>
          <w:lang w:eastAsia="ru-RU"/>
        </w:rPr>
      </w:pPr>
      <w:r>
        <w:rPr>
          <w:lang w:eastAsia="ru-RU"/>
        </w:rPr>
        <w:t>2) зберігання запасів готівки Національного банку в підрозділах залучених банків, сховища яких відповідають вимогам нормативно-правових актів Національного банку з питань організації захисту приміщень банків в Україні, що діють в особливий період, на умовах, визначених окремо укладеним договором;</w:t>
      </w:r>
    </w:p>
    <w:p w14:paraId="2617463C" w14:textId="77777777" w:rsidR="00962DB5" w:rsidRDefault="00962DB5" w:rsidP="00962DB5">
      <w:pPr>
        <w:ind w:firstLine="567"/>
        <w:rPr>
          <w:rFonts w:eastAsiaTheme="minorEastAsia"/>
          <w:noProof/>
          <w:color w:val="000000" w:themeColor="text1"/>
          <w:lang w:eastAsia="en-US"/>
        </w:rPr>
      </w:pPr>
      <w:r>
        <w:rPr>
          <w:lang w:eastAsia="ru-RU"/>
        </w:rPr>
        <w:lastRenderedPageBreak/>
        <w:t>3) призупинення, заборони діяльності банків чи здійснення окремих операцій ними.</w:t>
      </w:r>
      <w:r w:rsidRPr="00E343D0">
        <w:t>”</w:t>
      </w:r>
      <w:r w:rsidRPr="006C1705">
        <w:rPr>
          <w:rFonts w:eastAsiaTheme="minorEastAsia"/>
          <w:noProof/>
          <w:color w:val="000000" w:themeColor="text1"/>
          <w:lang w:eastAsia="en-US"/>
        </w:rPr>
        <w:t>.</w:t>
      </w:r>
    </w:p>
    <w:p w14:paraId="65EE26D7" w14:textId="77777777" w:rsidR="00962DB5" w:rsidRDefault="00962DB5" w:rsidP="00962DB5">
      <w:pPr>
        <w:ind w:firstLine="567"/>
        <w:rPr>
          <w:rFonts w:eastAsiaTheme="minorEastAsia"/>
          <w:noProof/>
          <w:color w:val="000000" w:themeColor="text1"/>
          <w:lang w:eastAsia="en-US"/>
        </w:rPr>
      </w:pPr>
      <w:r>
        <w:rPr>
          <w:rFonts w:eastAsiaTheme="minorEastAsia"/>
          <w:noProof/>
          <w:color w:val="000000" w:themeColor="text1"/>
          <w:lang w:eastAsia="en-US"/>
        </w:rPr>
        <w:t>У зв’язку з цим абзаци другий – п’ятий уважати відповідно абзацами п’ятим – восьмим;</w:t>
      </w:r>
    </w:p>
    <w:p w14:paraId="7C54E509" w14:textId="77777777" w:rsidR="00962DB5" w:rsidRDefault="00962DB5" w:rsidP="00962DB5">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2) в абзаці сьомому слово “другому” замінити словом “п’ятому”;</w:t>
      </w:r>
    </w:p>
    <w:p w14:paraId="5FE38FCA" w14:textId="77777777" w:rsidR="00962DB5" w:rsidRDefault="00962DB5" w:rsidP="00962DB5">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3) в абзаці восьмому слово “четвертому” замінити словом “сьомому”.</w:t>
      </w:r>
    </w:p>
    <w:p w14:paraId="38102C99" w14:textId="77777777" w:rsidR="00962DB5" w:rsidRPr="005966B0" w:rsidRDefault="00962DB5" w:rsidP="00962DB5">
      <w:pPr>
        <w:spacing w:before="240" w:after="240"/>
        <w:ind w:firstLine="567"/>
        <w:rPr>
          <w:rFonts w:eastAsiaTheme="minorEastAsia"/>
          <w:noProof/>
          <w:color w:val="000000" w:themeColor="text1"/>
          <w:lang w:val="ru-RU" w:eastAsia="en-US"/>
        </w:rPr>
      </w:pPr>
      <w:r>
        <w:rPr>
          <w:rFonts w:eastAsiaTheme="minorEastAsia"/>
          <w:noProof/>
          <w:color w:val="000000" w:themeColor="text1"/>
          <w:lang w:eastAsia="en-US"/>
        </w:rPr>
        <w:t>2. Постанова набирає чинності з дня, наступного за днем її офіційного опублікування</w:t>
      </w:r>
      <w:r w:rsidRPr="005212A1">
        <w:rPr>
          <w:rFonts w:eastAsiaTheme="minorEastAsia"/>
          <w:noProof/>
          <w:color w:val="000000" w:themeColor="text1"/>
          <w:lang w:val="ru-RU" w:eastAsia="en-US"/>
        </w:rPr>
        <w:t>.</w:t>
      </w:r>
    </w:p>
    <w:p w14:paraId="5F8BB8DB" w14:textId="77777777" w:rsidR="00962DB5" w:rsidRPr="00CD0CD4" w:rsidRDefault="00962DB5" w:rsidP="00962DB5">
      <w:pPr>
        <w:tabs>
          <w:tab w:val="left" w:pos="993"/>
        </w:tabs>
        <w:spacing w:after="120"/>
      </w:pPr>
    </w:p>
    <w:p w14:paraId="0E3F8A25" w14:textId="77777777" w:rsidR="00962DB5" w:rsidRPr="00CD0CD4" w:rsidRDefault="00962DB5" w:rsidP="00962DB5">
      <w:pPr>
        <w:tabs>
          <w:tab w:val="left" w:pos="993"/>
        </w:tabs>
        <w:spacing w:after="12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962DB5" w14:paraId="79F8AED7" w14:textId="77777777" w:rsidTr="002D368C">
        <w:tc>
          <w:tcPr>
            <w:tcW w:w="5495" w:type="dxa"/>
            <w:vAlign w:val="bottom"/>
          </w:tcPr>
          <w:p w14:paraId="36A36617" w14:textId="0E8218FC" w:rsidR="00962DB5" w:rsidRPr="00CD0CD4" w:rsidRDefault="00645118" w:rsidP="002D368C">
            <w:pPr>
              <w:tabs>
                <w:tab w:val="left" w:pos="7020"/>
                <w:tab w:val="left" w:pos="7200"/>
              </w:tabs>
              <w:autoSpaceDE w:val="0"/>
              <w:autoSpaceDN w:val="0"/>
              <w:ind w:left="-111"/>
              <w:jc w:val="left"/>
            </w:pPr>
            <w:r>
              <w:t xml:space="preserve">В. о. </w:t>
            </w:r>
            <w:r w:rsidR="00962DB5">
              <w:t>Голов</w:t>
            </w:r>
            <w:r>
              <w:t>и</w:t>
            </w:r>
          </w:p>
        </w:tc>
        <w:tc>
          <w:tcPr>
            <w:tcW w:w="4252" w:type="dxa"/>
            <w:vAlign w:val="bottom"/>
          </w:tcPr>
          <w:p w14:paraId="3590401F" w14:textId="4D80C98A" w:rsidR="00962DB5" w:rsidRPr="00CD0CD4" w:rsidRDefault="00645118" w:rsidP="002D368C">
            <w:pPr>
              <w:tabs>
                <w:tab w:val="left" w:pos="7020"/>
                <w:tab w:val="left" w:pos="7200"/>
              </w:tabs>
              <w:autoSpaceDE w:val="0"/>
              <w:autoSpaceDN w:val="0"/>
              <w:ind w:left="32"/>
              <w:jc w:val="right"/>
            </w:pPr>
            <w:r>
              <w:t>Юрій</w:t>
            </w:r>
            <w:r w:rsidR="00962DB5">
              <w:t xml:space="preserve"> </w:t>
            </w:r>
            <w:r>
              <w:t>ГЕЛЕТІЙ</w:t>
            </w:r>
          </w:p>
        </w:tc>
      </w:tr>
    </w:tbl>
    <w:p w14:paraId="5458562E" w14:textId="77777777" w:rsidR="00962DB5" w:rsidRPr="00CD0CD4" w:rsidRDefault="00962DB5" w:rsidP="00962DB5"/>
    <w:p w14:paraId="5BEF0816" w14:textId="77777777" w:rsidR="00962DB5" w:rsidRPr="00CD0CD4" w:rsidRDefault="00962DB5" w:rsidP="00962DB5"/>
    <w:p w14:paraId="7C162AFA" w14:textId="77777777" w:rsidR="00962DB5" w:rsidRPr="00CD0CD4" w:rsidRDefault="00962DB5" w:rsidP="00962DB5">
      <w:pPr>
        <w:jc w:val="left"/>
      </w:pPr>
      <w:r w:rsidRPr="00CD0CD4">
        <w:t>Інд.</w:t>
      </w:r>
      <w:r w:rsidRPr="00CD0CD4">
        <w:rPr>
          <w:sz w:val="22"/>
          <w:szCs w:val="22"/>
        </w:rPr>
        <w:t xml:space="preserve"> </w:t>
      </w:r>
      <w:r>
        <w:t>50</w:t>
      </w:r>
    </w:p>
    <w:p w14:paraId="63A41625" w14:textId="34A29B1A" w:rsidR="00FA508E" w:rsidRPr="00CD0CD4" w:rsidRDefault="00FA508E" w:rsidP="00962DB5">
      <w:pPr>
        <w:spacing w:before="240" w:after="240"/>
        <w:ind w:firstLine="567"/>
      </w:pPr>
    </w:p>
    <w:sectPr w:rsidR="00FA508E" w:rsidRPr="00CD0CD4" w:rsidSect="00CB69B4">
      <w:headerReference w:type="default" r:id="rId14"/>
      <w:footerReference w:type="first" r:id="rId15"/>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AB8CE" w14:textId="77777777" w:rsidR="009A4FC9" w:rsidRDefault="009A4FC9">
      <w:r>
        <w:separator/>
      </w:r>
    </w:p>
  </w:endnote>
  <w:endnote w:type="continuationSeparator" w:id="0">
    <w:p w14:paraId="7834A2A3" w14:textId="77777777" w:rsidR="009A4FC9" w:rsidRDefault="009A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FCEC" w14:textId="77777777" w:rsidR="00F93C70" w:rsidRPr="00AB062E" w:rsidRDefault="001E7428" w:rsidP="00F93C70">
    <w:pPr>
      <w:pStyle w:val="a5"/>
      <w:jc w:val="right"/>
      <w:rPr>
        <w:color w:val="FFFFFF" w:themeColor="background1"/>
      </w:rPr>
    </w:pPr>
    <w:r w:rsidRPr="00AB062E">
      <w:rPr>
        <w:color w:val="FFFFFF" w:themeColor="background1"/>
      </w:rPr>
      <w:t>Шаблон</w:t>
    </w:r>
  </w:p>
  <w:p w14:paraId="7313A7D9" w14:textId="77777777" w:rsidR="00F93C70" w:rsidRPr="00F93C70" w:rsidRDefault="001E7428"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F709A" w14:textId="77777777" w:rsidR="009A4FC9" w:rsidRDefault="009A4FC9">
      <w:r>
        <w:separator/>
      </w:r>
    </w:p>
  </w:footnote>
  <w:footnote w:type="continuationSeparator" w:id="0">
    <w:p w14:paraId="3CF520F3" w14:textId="77777777" w:rsidR="009A4FC9" w:rsidRDefault="009A4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5D3B35B5" w14:textId="565E607A" w:rsidR="00460BA2" w:rsidRDefault="001E7428">
        <w:pPr>
          <w:pStyle w:val="a5"/>
          <w:jc w:val="center"/>
        </w:pPr>
        <w:r>
          <w:fldChar w:fldCharType="begin"/>
        </w:r>
        <w:r>
          <w:instrText xml:space="preserve"> PAGE   \* MERGEFORMAT </w:instrText>
        </w:r>
        <w:r>
          <w:fldChar w:fldCharType="separate"/>
        </w:r>
        <w:r w:rsidR="00467E9A">
          <w:rPr>
            <w:noProof/>
          </w:rPr>
          <w:t>2</w:t>
        </w:r>
        <w:r>
          <w:fldChar w:fldCharType="end"/>
        </w:r>
      </w:p>
    </w:sdtContent>
  </w:sdt>
  <w:p w14:paraId="4388375F" w14:textId="77777777" w:rsidR="00460BA2" w:rsidRDefault="00460B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888280EA">
      <w:start w:val="1"/>
      <w:numFmt w:val="decimal"/>
      <w:lvlText w:val="%1."/>
      <w:lvlJc w:val="left"/>
      <w:pPr>
        <w:ind w:left="3905" w:hanging="360"/>
      </w:pPr>
    </w:lvl>
    <w:lvl w:ilvl="1" w:tplc="1E3641A6">
      <w:start w:val="1"/>
      <w:numFmt w:val="lowerLetter"/>
      <w:lvlText w:val="%2."/>
      <w:lvlJc w:val="left"/>
      <w:pPr>
        <w:ind w:left="1789" w:hanging="360"/>
      </w:pPr>
    </w:lvl>
    <w:lvl w:ilvl="2" w:tplc="CAA0D690">
      <w:start w:val="1"/>
      <w:numFmt w:val="lowerRoman"/>
      <w:lvlText w:val="%3."/>
      <w:lvlJc w:val="right"/>
      <w:pPr>
        <w:ind w:left="2509" w:hanging="180"/>
      </w:pPr>
    </w:lvl>
    <w:lvl w:ilvl="3" w:tplc="EB907DE8">
      <w:start w:val="1"/>
      <w:numFmt w:val="decimal"/>
      <w:lvlText w:val="%4."/>
      <w:lvlJc w:val="left"/>
      <w:pPr>
        <w:ind w:left="3229" w:hanging="360"/>
      </w:pPr>
    </w:lvl>
    <w:lvl w:ilvl="4" w:tplc="9B78DDAC">
      <w:start w:val="1"/>
      <w:numFmt w:val="lowerLetter"/>
      <w:lvlText w:val="%5."/>
      <w:lvlJc w:val="left"/>
      <w:pPr>
        <w:ind w:left="3949" w:hanging="360"/>
      </w:pPr>
    </w:lvl>
    <w:lvl w:ilvl="5" w:tplc="C0645E36">
      <w:start w:val="1"/>
      <w:numFmt w:val="lowerRoman"/>
      <w:lvlText w:val="%6."/>
      <w:lvlJc w:val="right"/>
      <w:pPr>
        <w:ind w:left="4669" w:hanging="180"/>
      </w:pPr>
    </w:lvl>
    <w:lvl w:ilvl="6" w:tplc="C1D22D2A">
      <w:start w:val="1"/>
      <w:numFmt w:val="decimal"/>
      <w:lvlText w:val="%7."/>
      <w:lvlJc w:val="left"/>
      <w:pPr>
        <w:ind w:left="5389" w:hanging="360"/>
      </w:pPr>
    </w:lvl>
    <w:lvl w:ilvl="7" w:tplc="01BAB764">
      <w:start w:val="1"/>
      <w:numFmt w:val="lowerLetter"/>
      <w:lvlText w:val="%8."/>
      <w:lvlJc w:val="left"/>
      <w:pPr>
        <w:ind w:left="6109" w:hanging="360"/>
      </w:pPr>
    </w:lvl>
    <w:lvl w:ilvl="8" w:tplc="18F28596">
      <w:start w:val="1"/>
      <w:numFmt w:val="lowerRoman"/>
      <w:lvlText w:val="%9."/>
      <w:lvlJc w:val="right"/>
      <w:pPr>
        <w:ind w:left="6829" w:hanging="180"/>
      </w:pPr>
    </w:lvl>
  </w:abstractNum>
  <w:abstractNum w:abstractNumId="1" w15:restartNumberingAfterBreak="0">
    <w:nsid w:val="39745796"/>
    <w:multiLevelType w:val="hybridMultilevel"/>
    <w:tmpl w:val="D44AD2DE"/>
    <w:lvl w:ilvl="0" w:tplc="8878D0F6">
      <w:start w:val="1"/>
      <w:numFmt w:val="decimal"/>
      <w:lvlText w:val="%1."/>
      <w:lvlJc w:val="left"/>
      <w:pPr>
        <w:ind w:left="1429" w:hanging="360"/>
      </w:pPr>
    </w:lvl>
    <w:lvl w:ilvl="1" w:tplc="1466D6D6" w:tentative="1">
      <w:start w:val="1"/>
      <w:numFmt w:val="lowerLetter"/>
      <w:lvlText w:val="%2."/>
      <w:lvlJc w:val="left"/>
      <w:pPr>
        <w:ind w:left="2149" w:hanging="360"/>
      </w:pPr>
    </w:lvl>
    <w:lvl w:ilvl="2" w:tplc="4B7C4E5A" w:tentative="1">
      <w:start w:val="1"/>
      <w:numFmt w:val="lowerRoman"/>
      <w:lvlText w:val="%3."/>
      <w:lvlJc w:val="right"/>
      <w:pPr>
        <w:ind w:left="2869" w:hanging="180"/>
      </w:pPr>
    </w:lvl>
    <w:lvl w:ilvl="3" w:tplc="20523E28" w:tentative="1">
      <w:start w:val="1"/>
      <w:numFmt w:val="decimal"/>
      <w:lvlText w:val="%4."/>
      <w:lvlJc w:val="left"/>
      <w:pPr>
        <w:ind w:left="3589" w:hanging="360"/>
      </w:pPr>
    </w:lvl>
    <w:lvl w:ilvl="4" w:tplc="FAB0E7D8" w:tentative="1">
      <w:start w:val="1"/>
      <w:numFmt w:val="lowerLetter"/>
      <w:lvlText w:val="%5."/>
      <w:lvlJc w:val="left"/>
      <w:pPr>
        <w:ind w:left="4309" w:hanging="360"/>
      </w:pPr>
    </w:lvl>
    <w:lvl w:ilvl="5" w:tplc="C6B22D44" w:tentative="1">
      <w:start w:val="1"/>
      <w:numFmt w:val="lowerRoman"/>
      <w:lvlText w:val="%6."/>
      <w:lvlJc w:val="right"/>
      <w:pPr>
        <w:ind w:left="5029" w:hanging="180"/>
      </w:pPr>
    </w:lvl>
    <w:lvl w:ilvl="6" w:tplc="D86C2BEE" w:tentative="1">
      <w:start w:val="1"/>
      <w:numFmt w:val="decimal"/>
      <w:lvlText w:val="%7."/>
      <w:lvlJc w:val="left"/>
      <w:pPr>
        <w:ind w:left="5749" w:hanging="360"/>
      </w:pPr>
    </w:lvl>
    <w:lvl w:ilvl="7" w:tplc="AE3E2D8A" w:tentative="1">
      <w:start w:val="1"/>
      <w:numFmt w:val="lowerLetter"/>
      <w:lvlText w:val="%8."/>
      <w:lvlJc w:val="left"/>
      <w:pPr>
        <w:ind w:left="6469" w:hanging="360"/>
      </w:pPr>
    </w:lvl>
    <w:lvl w:ilvl="8" w:tplc="92D44D0C"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5CF3"/>
    <w:rsid w:val="00015FDE"/>
    <w:rsid w:val="000267A9"/>
    <w:rsid w:val="000271C0"/>
    <w:rsid w:val="0003331E"/>
    <w:rsid w:val="000342A5"/>
    <w:rsid w:val="0003793C"/>
    <w:rsid w:val="000543C6"/>
    <w:rsid w:val="000600A8"/>
    <w:rsid w:val="00061C52"/>
    <w:rsid w:val="00063480"/>
    <w:rsid w:val="000638F2"/>
    <w:rsid w:val="000A1508"/>
    <w:rsid w:val="000B2990"/>
    <w:rsid w:val="000D778F"/>
    <w:rsid w:val="000E0CB3"/>
    <w:rsid w:val="000E5B8C"/>
    <w:rsid w:val="000E7A13"/>
    <w:rsid w:val="000F095F"/>
    <w:rsid w:val="00106229"/>
    <w:rsid w:val="00115ECF"/>
    <w:rsid w:val="001251FB"/>
    <w:rsid w:val="00142CC4"/>
    <w:rsid w:val="001564BA"/>
    <w:rsid w:val="001631E2"/>
    <w:rsid w:val="001716B0"/>
    <w:rsid w:val="001740C0"/>
    <w:rsid w:val="00190E1A"/>
    <w:rsid w:val="00192E88"/>
    <w:rsid w:val="001A0EE5"/>
    <w:rsid w:val="001A16FA"/>
    <w:rsid w:val="001A4CB9"/>
    <w:rsid w:val="001A6795"/>
    <w:rsid w:val="001C206C"/>
    <w:rsid w:val="001D487A"/>
    <w:rsid w:val="001D50D7"/>
    <w:rsid w:val="001E427C"/>
    <w:rsid w:val="001E7428"/>
    <w:rsid w:val="001F3B2A"/>
    <w:rsid w:val="00207894"/>
    <w:rsid w:val="00222E92"/>
    <w:rsid w:val="002238D1"/>
    <w:rsid w:val="00233F37"/>
    <w:rsid w:val="00241373"/>
    <w:rsid w:val="00246D07"/>
    <w:rsid w:val="00253BF9"/>
    <w:rsid w:val="00264983"/>
    <w:rsid w:val="00266678"/>
    <w:rsid w:val="0027512F"/>
    <w:rsid w:val="00276988"/>
    <w:rsid w:val="00280DCC"/>
    <w:rsid w:val="00285DDA"/>
    <w:rsid w:val="00290169"/>
    <w:rsid w:val="002A2391"/>
    <w:rsid w:val="002B268D"/>
    <w:rsid w:val="002B351E"/>
    <w:rsid w:val="002B3F71"/>
    <w:rsid w:val="002B582B"/>
    <w:rsid w:val="002C1FDB"/>
    <w:rsid w:val="002D1790"/>
    <w:rsid w:val="002F48EF"/>
    <w:rsid w:val="0032595E"/>
    <w:rsid w:val="00331332"/>
    <w:rsid w:val="00332701"/>
    <w:rsid w:val="00340D07"/>
    <w:rsid w:val="003438AD"/>
    <w:rsid w:val="00345982"/>
    <w:rsid w:val="00350821"/>
    <w:rsid w:val="00356E34"/>
    <w:rsid w:val="00357676"/>
    <w:rsid w:val="0038261A"/>
    <w:rsid w:val="0038385E"/>
    <w:rsid w:val="00384F65"/>
    <w:rsid w:val="0039725C"/>
    <w:rsid w:val="003A16E7"/>
    <w:rsid w:val="003A6061"/>
    <w:rsid w:val="003A751F"/>
    <w:rsid w:val="003C3282"/>
    <w:rsid w:val="003C3985"/>
    <w:rsid w:val="003D6B33"/>
    <w:rsid w:val="003F0441"/>
    <w:rsid w:val="003F28B5"/>
    <w:rsid w:val="003F509A"/>
    <w:rsid w:val="003F7093"/>
    <w:rsid w:val="004006C3"/>
    <w:rsid w:val="00401EDB"/>
    <w:rsid w:val="00404C93"/>
    <w:rsid w:val="00407877"/>
    <w:rsid w:val="004130B9"/>
    <w:rsid w:val="00414EA6"/>
    <w:rsid w:val="0043496A"/>
    <w:rsid w:val="00446704"/>
    <w:rsid w:val="0044765D"/>
    <w:rsid w:val="00455B45"/>
    <w:rsid w:val="00460BA2"/>
    <w:rsid w:val="004666D6"/>
    <w:rsid w:val="00467E9A"/>
    <w:rsid w:val="00482ED9"/>
    <w:rsid w:val="004A1CFC"/>
    <w:rsid w:val="004A7D28"/>
    <w:rsid w:val="004A7F75"/>
    <w:rsid w:val="004B1FE9"/>
    <w:rsid w:val="004B5574"/>
    <w:rsid w:val="004B7171"/>
    <w:rsid w:val="004D2B57"/>
    <w:rsid w:val="004E22E2"/>
    <w:rsid w:val="004F38E6"/>
    <w:rsid w:val="004F7286"/>
    <w:rsid w:val="0050563F"/>
    <w:rsid w:val="005212A1"/>
    <w:rsid w:val="005212C5"/>
    <w:rsid w:val="00523C13"/>
    <w:rsid w:val="00524F07"/>
    <w:rsid w:val="005257C2"/>
    <w:rsid w:val="00532633"/>
    <w:rsid w:val="005403F1"/>
    <w:rsid w:val="00542533"/>
    <w:rsid w:val="00546D01"/>
    <w:rsid w:val="005624B6"/>
    <w:rsid w:val="00562C46"/>
    <w:rsid w:val="00566BA2"/>
    <w:rsid w:val="0057237F"/>
    <w:rsid w:val="00577402"/>
    <w:rsid w:val="005822CB"/>
    <w:rsid w:val="005966B0"/>
    <w:rsid w:val="00597AB6"/>
    <w:rsid w:val="005A0F4B"/>
    <w:rsid w:val="005A1D3C"/>
    <w:rsid w:val="005A3F34"/>
    <w:rsid w:val="005B2D03"/>
    <w:rsid w:val="005B423A"/>
    <w:rsid w:val="005C5CBF"/>
    <w:rsid w:val="005D3B88"/>
    <w:rsid w:val="005D45F5"/>
    <w:rsid w:val="005E3FA8"/>
    <w:rsid w:val="005F4CB4"/>
    <w:rsid w:val="005F6B35"/>
    <w:rsid w:val="006121C5"/>
    <w:rsid w:val="00615570"/>
    <w:rsid w:val="00640612"/>
    <w:rsid w:val="0064227D"/>
    <w:rsid w:val="00645118"/>
    <w:rsid w:val="0065179F"/>
    <w:rsid w:val="00653013"/>
    <w:rsid w:val="00657593"/>
    <w:rsid w:val="00670C95"/>
    <w:rsid w:val="00691CDD"/>
    <w:rsid w:val="006925CE"/>
    <w:rsid w:val="00692C8C"/>
    <w:rsid w:val="006A5246"/>
    <w:rsid w:val="006B2748"/>
    <w:rsid w:val="006B465F"/>
    <w:rsid w:val="006C06A1"/>
    <w:rsid w:val="006C0F22"/>
    <w:rsid w:val="006C13B1"/>
    <w:rsid w:val="006C1705"/>
    <w:rsid w:val="006C4176"/>
    <w:rsid w:val="006C66EF"/>
    <w:rsid w:val="006C6E3D"/>
    <w:rsid w:val="006D1B74"/>
    <w:rsid w:val="006D2617"/>
    <w:rsid w:val="00700AA3"/>
    <w:rsid w:val="007142BA"/>
    <w:rsid w:val="00714823"/>
    <w:rsid w:val="00717197"/>
    <w:rsid w:val="0071789F"/>
    <w:rsid w:val="00730088"/>
    <w:rsid w:val="00737D23"/>
    <w:rsid w:val="00747222"/>
    <w:rsid w:val="00750898"/>
    <w:rsid w:val="00750D89"/>
    <w:rsid w:val="00773559"/>
    <w:rsid w:val="0078127A"/>
    <w:rsid w:val="00783AF2"/>
    <w:rsid w:val="00787E46"/>
    <w:rsid w:val="007A0B62"/>
    <w:rsid w:val="007A2BCB"/>
    <w:rsid w:val="007A6609"/>
    <w:rsid w:val="007A7BD2"/>
    <w:rsid w:val="007B2FCB"/>
    <w:rsid w:val="007B3538"/>
    <w:rsid w:val="007B7B73"/>
    <w:rsid w:val="007C2CED"/>
    <w:rsid w:val="007D04BD"/>
    <w:rsid w:val="007D04F8"/>
    <w:rsid w:val="00800C77"/>
    <w:rsid w:val="00802988"/>
    <w:rsid w:val="0081181B"/>
    <w:rsid w:val="008415A0"/>
    <w:rsid w:val="0085364B"/>
    <w:rsid w:val="00866993"/>
    <w:rsid w:val="00874366"/>
    <w:rsid w:val="008762D8"/>
    <w:rsid w:val="00897035"/>
    <w:rsid w:val="008A3E06"/>
    <w:rsid w:val="008B1589"/>
    <w:rsid w:val="008B74DD"/>
    <w:rsid w:val="008C72B5"/>
    <w:rsid w:val="008D10FD"/>
    <w:rsid w:val="008D122F"/>
    <w:rsid w:val="008D5F60"/>
    <w:rsid w:val="008D727F"/>
    <w:rsid w:val="008E1B8E"/>
    <w:rsid w:val="008F0210"/>
    <w:rsid w:val="008F2600"/>
    <w:rsid w:val="008F5D52"/>
    <w:rsid w:val="00904F17"/>
    <w:rsid w:val="00922966"/>
    <w:rsid w:val="0092710A"/>
    <w:rsid w:val="00937AE3"/>
    <w:rsid w:val="00937D24"/>
    <w:rsid w:val="00943175"/>
    <w:rsid w:val="00954131"/>
    <w:rsid w:val="00956D26"/>
    <w:rsid w:val="0095741D"/>
    <w:rsid w:val="00957B36"/>
    <w:rsid w:val="00957DFC"/>
    <w:rsid w:val="00962DB5"/>
    <w:rsid w:val="0097288F"/>
    <w:rsid w:val="0098207E"/>
    <w:rsid w:val="00990AAE"/>
    <w:rsid w:val="009A4FC9"/>
    <w:rsid w:val="009A7724"/>
    <w:rsid w:val="009B6120"/>
    <w:rsid w:val="009C2F76"/>
    <w:rsid w:val="009C41FE"/>
    <w:rsid w:val="009F5312"/>
    <w:rsid w:val="00A02AEC"/>
    <w:rsid w:val="00A0594A"/>
    <w:rsid w:val="00A06AB3"/>
    <w:rsid w:val="00A12C47"/>
    <w:rsid w:val="00A23E04"/>
    <w:rsid w:val="00A327EF"/>
    <w:rsid w:val="00A46C15"/>
    <w:rsid w:val="00A46ED9"/>
    <w:rsid w:val="00A500CE"/>
    <w:rsid w:val="00A50DC0"/>
    <w:rsid w:val="00A6334A"/>
    <w:rsid w:val="00A63695"/>
    <w:rsid w:val="00A72F06"/>
    <w:rsid w:val="00A730F2"/>
    <w:rsid w:val="00A77FFD"/>
    <w:rsid w:val="00A9051B"/>
    <w:rsid w:val="00A964D1"/>
    <w:rsid w:val="00A978E6"/>
    <w:rsid w:val="00AB007C"/>
    <w:rsid w:val="00AB062E"/>
    <w:rsid w:val="00AB4554"/>
    <w:rsid w:val="00AB5A34"/>
    <w:rsid w:val="00AC2472"/>
    <w:rsid w:val="00AC47B6"/>
    <w:rsid w:val="00AD7DF9"/>
    <w:rsid w:val="00AE29BB"/>
    <w:rsid w:val="00AE2CAF"/>
    <w:rsid w:val="00AF1A5C"/>
    <w:rsid w:val="00AF33D9"/>
    <w:rsid w:val="00B002E4"/>
    <w:rsid w:val="00B332B2"/>
    <w:rsid w:val="00B33EA7"/>
    <w:rsid w:val="00B34CCC"/>
    <w:rsid w:val="00B36EC7"/>
    <w:rsid w:val="00B36EDD"/>
    <w:rsid w:val="00B40B77"/>
    <w:rsid w:val="00B61C97"/>
    <w:rsid w:val="00B628C5"/>
    <w:rsid w:val="00B71933"/>
    <w:rsid w:val="00B8078D"/>
    <w:rsid w:val="00BB575A"/>
    <w:rsid w:val="00BD12A3"/>
    <w:rsid w:val="00BD6D34"/>
    <w:rsid w:val="00BD7F6E"/>
    <w:rsid w:val="00BF46E9"/>
    <w:rsid w:val="00BF47B0"/>
    <w:rsid w:val="00BF5327"/>
    <w:rsid w:val="00C016BA"/>
    <w:rsid w:val="00C21D33"/>
    <w:rsid w:val="00C3382F"/>
    <w:rsid w:val="00C41F9F"/>
    <w:rsid w:val="00C4377C"/>
    <w:rsid w:val="00C47F0F"/>
    <w:rsid w:val="00C51D84"/>
    <w:rsid w:val="00C52506"/>
    <w:rsid w:val="00C82259"/>
    <w:rsid w:val="00C9297C"/>
    <w:rsid w:val="00C94014"/>
    <w:rsid w:val="00CB0A99"/>
    <w:rsid w:val="00CB5A09"/>
    <w:rsid w:val="00CB5B07"/>
    <w:rsid w:val="00CB69B4"/>
    <w:rsid w:val="00CD0CD4"/>
    <w:rsid w:val="00CE3B9F"/>
    <w:rsid w:val="00CF1FB8"/>
    <w:rsid w:val="00CF2C65"/>
    <w:rsid w:val="00D078B6"/>
    <w:rsid w:val="00D1022C"/>
    <w:rsid w:val="00D24B66"/>
    <w:rsid w:val="00D27115"/>
    <w:rsid w:val="00D34DCC"/>
    <w:rsid w:val="00D4037C"/>
    <w:rsid w:val="00D559F6"/>
    <w:rsid w:val="00D61D9B"/>
    <w:rsid w:val="00D63A92"/>
    <w:rsid w:val="00D71B71"/>
    <w:rsid w:val="00D869F3"/>
    <w:rsid w:val="00DA2F09"/>
    <w:rsid w:val="00DC1E60"/>
    <w:rsid w:val="00DD1736"/>
    <w:rsid w:val="00DD60CC"/>
    <w:rsid w:val="00DE7975"/>
    <w:rsid w:val="00DF4D12"/>
    <w:rsid w:val="00E054A9"/>
    <w:rsid w:val="00E10AE2"/>
    <w:rsid w:val="00E10F0A"/>
    <w:rsid w:val="00E21875"/>
    <w:rsid w:val="00E25407"/>
    <w:rsid w:val="00E32599"/>
    <w:rsid w:val="00E33B0E"/>
    <w:rsid w:val="00E416C6"/>
    <w:rsid w:val="00E42621"/>
    <w:rsid w:val="00E446A6"/>
    <w:rsid w:val="00E53CB5"/>
    <w:rsid w:val="00E53CCD"/>
    <w:rsid w:val="00E57016"/>
    <w:rsid w:val="00E62607"/>
    <w:rsid w:val="00E6542F"/>
    <w:rsid w:val="00E71855"/>
    <w:rsid w:val="00E719A9"/>
    <w:rsid w:val="00E74223"/>
    <w:rsid w:val="00E95762"/>
    <w:rsid w:val="00EA1DE4"/>
    <w:rsid w:val="00EA60EA"/>
    <w:rsid w:val="00EB29BF"/>
    <w:rsid w:val="00EC324F"/>
    <w:rsid w:val="00EC7C7F"/>
    <w:rsid w:val="00ED0FB2"/>
    <w:rsid w:val="00EF4B42"/>
    <w:rsid w:val="00F003D3"/>
    <w:rsid w:val="00F008AB"/>
    <w:rsid w:val="00F03E32"/>
    <w:rsid w:val="00F42289"/>
    <w:rsid w:val="00F42E75"/>
    <w:rsid w:val="00F45D65"/>
    <w:rsid w:val="00F517FA"/>
    <w:rsid w:val="00F52D16"/>
    <w:rsid w:val="00F55FA5"/>
    <w:rsid w:val="00F62D67"/>
    <w:rsid w:val="00F63BD9"/>
    <w:rsid w:val="00F6694C"/>
    <w:rsid w:val="00F8145F"/>
    <w:rsid w:val="00F9283D"/>
    <w:rsid w:val="00F93C70"/>
    <w:rsid w:val="00F96F18"/>
    <w:rsid w:val="00FA508E"/>
    <w:rsid w:val="00FA5320"/>
    <w:rsid w:val="00FA7846"/>
    <w:rsid w:val="00FC26E5"/>
    <w:rsid w:val="00FC34B0"/>
    <w:rsid w:val="00FD19F1"/>
    <w:rsid w:val="00FD370F"/>
    <w:rsid w:val="00FE0B90"/>
    <w:rsid w:val="00FF4869"/>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FD82E"/>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f4">
    <w:name w:val="Normal (Web)"/>
    <w:basedOn w:val="a"/>
    <w:uiPriority w:val="99"/>
    <w:unhideWhenUsed/>
    <w:rsid w:val="0044765D"/>
    <w:pPr>
      <w:spacing w:before="100" w:beforeAutospacing="1" w:after="100" w:afterAutospacing="1"/>
      <w:jc w:val="left"/>
    </w:pPr>
    <w:rPr>
      <w:sz w:val="24"/>
      <w:szCs w:val="24"/>
    </w:rPr>
  </w:style>
  <w:style w:type="character" w:styleId="af5">
    <w:name w:val="annotation reference"/>
    <w:basedOn w:val="a0"/>
    <w:uiPriority w:val="99"/>
    <w:semiHidden/>
    <w:unhideWhenUsed/>
    <w:rsid w:val="003A6061"/>
    <w:rPr>
      <w:sz w:val="16"/>
      <w:szCs w:val="16"/>
    </w:rPr>
  </w:style>
  <w:style w:type="paragraph" w:styleId="af6">
    <w:name w:val="annotation text"/>
    <w:basedOn w:val="a"/>
    <w:link w:val="af7"/>
    <w:uiPriority w:val="99"/>
    <w:semiHidden/>
    <w:unhideWhenUsed/>
    <w:rsid w:val="003A6061"/>
    <w:rPr>
      <w:sz w:val="20"/>
      <w:szCs w:val="20"/>
    </w:rPr>
  </w:style>
  <w:style w:type="character" w:customStyle="1" w:styleId="af7">
    <w:name w:val="Текст примітки Знак"/>
    <w:basedOn w:val="a0"/>
    <w:link w:val="af6"/>
    <w:uiPriority w:val="99"/>
    <w:semiHidden/>
    <w:rsid w:val="003A6061"/>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3A6061"/>
    <w:rPr>
      <w:b/>
      <w:bCs/>
    </w:rPr>
  </w:style>
  <w:style w:type="character" w:customStyle="1" w:styleId="af9">
    <w:name w:val="Тема примітки Знак"/>
    <w:basedOn w:val="af7"/>
    <w:link w:val="af8"/>
    <w:uiPriority w:val="99"/>
    <w:semiHidden/>
    <w:rsid w:val="003A6061"/>
    <w:rPr>
      <w:rFonts w:ascii="Times New Roman" w:hAnsi="Times New Roman" w:cs="Times New Roman"/>
      <w:b/>
      <w:bCs/>
      <w:sz w:val="20"/>
      <w:szCs w:val="20"/>
      <w:lang w:eastAsia="uk-UA"/>
    </w:rPr>
  </w:style>
  <w:style w:type="paragraph" w:styleId="afa">
    <w:name w:val="Revision"/>
    <w:hidden/>
    <w:uiPriority w:val="99"/>
    <w:semiHidden/>
    <w:rsid w:val="003A6061"/>
    <w:pPr>
      <w:spacing w:after="0" w:line="240" w:lineRule="auto"/>
    </w:pPr>
    <w:rPr>
      <w:rFonts w:ascii="Times New Roman" w:hAnsi="Times New Roman" w:cs="Times New Roman"/>
      <w:sz w:val="28"/>
      <w:szCs w:val="28"/>
      <w:lang w:eastAsia="uk-UA"/>
    </w:rPr>
  </w:style>
  <w:style w:type="paragraph" w:styleId="afb">
    <w:name w:val="caption"/>
    <w:basedOn w:val="a"/>
    <w:next w:val="a"/>
    <w:uiPriority w:val="35"/>
    <w:unhideWhenUsed/>
    <w:qFormat/>
    <w:rsid w:val="001D50D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1F64E08-308F-4039-A6FE-67087F8B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1503</Words>
  <Characters>858</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Федірко Оксана Юріївна</cp:lastModifiedBy>
  <cp:revision>3</cp:revision>
  <cp:lastPrinted>2015-04-06T07:59:00Z</cp:lastPrinted>
  <dcterms:created xsi:type="dcterms:W3CDTF">2022-09-23T14:13:00Z</dcterms:created>
  <dcterms:modified xsi:type="dcterms:W3CDTF">2022-09-23T14:14:00Z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