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1486" w14:textId="77921D08" w:rsidR="00BF5A86" w:rsidRPr="00F3580F" w:rsidRDefault="00BF5A86" w:rsidP="00BF5A86">
      <w:pPr>
        <w:pStyle w:val="a5"/>
        <w:jc w:val="right"/>
        <w:rPr>
          <w:lang w:val="en-US"/>
        </w:rPr>
      </w:pPr>
      <w:r>
        <w:t xml:space="preserve">Офіційно опубліковано </w:t>
      </w:r>
      <w:r>
        <w:rPr>
          <w:lang w:val="en-US"/>
        </w:rPr>
        <w:t>25</w:t>
      </w:r>
      <w:r>
        <w:t>.0</w:t>
      </w:r>
      <w:r>
        <w:rPr>
          <w:lang w:val="en-US"/>
        </w:rPr>
        <w:t>8</w:t>
      </w:r>
      <w:r>
        <w:t>.202</w:t>
      </w:r>
      <w:r>
        <w:rPr>
          <w:lang w:val="en-US"/>
        </w:rPr>
        <w:t>2</w:t>
      </w:r>
    </w:p>
    <w:p w14:paraId="5DAF8593" w14:textId="38519D9E" w:rsidR="00FA7846" w:rsidRPr="009959F0" w:rsidRDefault="00FA7846" w:rsidP="00FA7846">
      <w:pPr>
        <w:rPr>
          <w:sz w:val="2"/>
          <w:szCs w:val="2"/>
          <w:lang w:val="ru-RU"/>
        </w:rPr>
      </w:pPr>
    </w:p>
    <w:p w14:paraId="31A44D5E" w14:textId="3731962B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4DC8D0E4" w14:textId="77777777" w:rsidTr="00E054A9">
        <w:trPr>
          <w:trHeight w:val="851"/>
        </w:trPr>
        <w:tc>
          <w:tcPr>
            <w:tcW w:w="3284" w:type="dxa"/>
          </w:tcPr>
          <w:p w14:paraId="0738D762" w14:textId="77777777" w:rsidR="00657593" w:rsidRDefault="00657593" w:rsidP="00E054A9"/>
        </w:tc>
        <w:tc>
          <w:tcPr>
            <w:tcW w:w="3285" w:type="dxa"/>
            <w:vMerge w:val="restart"/>
          </w:tcPr>
          <w:p w14:paraId="2AAB81FA" w14:textId="77777777" w:rsidR="00657593" w:rsidRDefault="00657593" w:rsidP="00E054A9">
            <w:pPr>
              <w:jc w:val="center"/>
            </w:pPr>
            <w:r>
              <w:object w:dxaOrig="1595" w:dyaOrig="2201" w14:anchorId="0FD69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pt" o:ole="">
                  <v:imagedata r:id="rId12" o:title=""/>
                </v:shape>
                <o:OLEObject Type="Embed" ProgID="CorelDraw.Graphic.16" ShapeID="_x0000_i1025" DrawAspect="Content" ObjectID="_1722860694" r:id="rId13"/>
              </w:object>
            </w:r>
          </w:p>
        </w:tc>
        <w:tc>
          <w:tcPr>
            <w:tcW w:w="3285" w:type="dxa"/>
          </w:tcPr>
          <w:p w14:paraId="10A61037" w14:textId="71DDADD7" w:rsidR="00657593" w:rsidRDefault="00657593" w:rsidP="00E054A9"/>
        </w:tc>
      </w:tr>
      <w:tr w:rsidR="00657593" w14:paraId="1D9DA062" w14:textId="77777777" w:rsidTr="00E054A9">
        <w:tc>
          <w:tcPr>
            <w:tcW w:w="3284" w:type="dxa"/>
          </w:tcPr>
          <w:p w14:paraId="2C029C89" w14:textId="77777777" w:rsidR="00657593" w:rsidRDefault="00657593" w:rsidP="00E054A9"/>
        </w:tc>
        <w:tc>
          <w:tcPr>
            <w:tcW w:w="3285" w:type="dxa"/>
            <w:vMerge/>
          </w:tcPr>
          <w:p w14:paraId="7B3C0836" w14:textId="77777777" w:rsidR="00657593" w:rsidRDefault="00657593" w:rsidP="00E054A9"/>
        </w:tc>
        <w:tc>
          <w:tcPr>
            <w:tcW w:w="3285" w:type="dxa"/>
          </w:tcPr>
          <w:p w14:paraId="4913F4A8" w14:textId="22ED9330" w:rsidR="00657593" w:rsidRDefault="00657593" w:rsidP="00E054A9"/>
        </w:tc>
      </w:tr>
      <w:tr w:rsidR="00657593" w14:paraId="13D0ED92" w14:textId="77777777" w:rsidTr="00E054A9">
        <w:tc>
          <w:tcPr>
            <w:tcW w:w="9854" w:type="dxa"/>
            <w:gridSpan w:val="3"/>
          </w:tcPr>
          <w:p w14:paraId="431E90CA" w14:textId="77E0BFDB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A57046" w14:textId="1E7A26A2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136C019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6"/>
        <w:gridCol w:w="3567"/>
      </w:tblGrid>
      <w:tr w:rsidR="00AE0AE3" w14:paraId="4B305901" w14:textId="77777777" w:rsidTr="00AE0AE3">
        <w:tc>
          <w:tcPr>
            <w:tcW w:w="3435" w:type="dxa"/>
            <w:vAlign w:val="bottom"/>
          </w:tcPr>
          <w:p w14:paraId="3C74528D" w14:textId="528717FF" w:rsidR="00AE0AE3" w:rsidRPr="00255D3D" w:rsidRDefault="00255D3D" w:rsidP="00E054A9">
            <w:pPr>
              <w:rPr>
                <w:lang w:val="ru-RU"/>
              </w:rPr>
            </w:pPr>
            <w:r>
              <w:rPr>
                <w:lang w:val="en-US"/>
              </w:rPr>
              <w:t xml:space="preserve">24 </w:t>
            </w:r>
            <w:r w:rsidRPr="00C43F02">
              <w:t>серпня 2022 року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36" w:type="dxa"/>
          </w:tcPr>
          <w:p w14:paraId="558FD266" w14:textId="3AA1159C" w:rsidR="00AE0AE3" w:rsidRDefault="00AE0AE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3567" w:type="dxa"/>
            <w:vAlign w:val="bottom"/>
          </w:tcPr>
          <w:p w14:paraId="2C18B6FA" w14:textId="09D9DF81" w:rsidR="00AE0AE3" w:rsidRDefault="00AE0AE3" w:rsidP="00211BB0">
            <w:pPr>
              <w:jc w:val="left"/>
            </w:pPr>
            <w:r>
              <w:rPr>
                <w:rFonts w:eastAsiaTheme="minorEastAsia"/>
                <w:color w:val="000000" w:themeColor="text1"/>
                <w:lang w:val="en-US" w:eastAsia="en-US"/>
              </w:rPr>
              <w:t xml:space="preserve">      </w:t>
            </w:r>
            <w:r w:rsidR="00E86000">
              <w:rPr>
                <w:rFonts w:eastAsiaTheme="minorEastAsia"/>
                <w:color w:val="000000" w:themeColor="text1"/>
                <w:lang w:val="ru-RU" w:eastAsia="en-US"/>
              </w:rPr>
              <w:t>№ 188</w:t>
            </w:r>
            <w:bookmarkStart w:id="0" w:name="_GoBack"/>
            <w:bookmarkEnd w:id="0"/>
            <w:r>
              <w:rPr>
                <w:rFonts w:eastAsiaTheme="minorEastAsia"/>
                <w:color w:val="000000" w:themeColor="text1"/>
                <w:lang w:val="en-US" w:eastAsia="en-US"/>
              </w:rPr>
              <w:t xml:space="preserve">           </w:t>
            </w:r>
          </w:p>
        </w:tc>
      </w:tr>
    </w:tbl>
    <w:p w14:paraId="18D36072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05718409" w14:textId="77777777" w:rsidTr="00385D36">
        <w:trPr>
          <w:trHeight w:val="201"/>
          <w:jc w:val="center"/>
        </w:trPr>
        <w:tc>
          <w:tcPr>
            <w:tcW w:w="5000" w:type="pct"/>
          </w:tcPr>
          <w:p w14:paraId="0CB7E24E" w14:textId="6FF8F019" w:rsidR="009D52DF" w:rsidRPr="00CD0CD4" w:rsidRDefault="006C75FD" w:rsidP="00D73493">
            <w:pPr>
              <w:tabs>
                <w:tab w:val="left" w:pos="840"/>
                <w:tab w:val="center" w:pos="3293"/>
              </w:tabs>
              <w:spacing w:before="240" w:after="240"/>
              <w:ind w:right="-111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C75FD">
              <w:rPr>
                <w:bCs/>
              </w:rPr>
              <w:t xml:space="preserve">Про </w:t>
            </w:r>
            <w:r w:rsidR="00D73493">
              <w:rPr>
                <w:bCs/>
              </w:rPr>
              <w:t>затвердження</w:t>
            </w:r>
            <w:r>
              <w:rPr>
                <w:bCs/>
              </w:rPr>
              <w:t xml:space="preserve"> </w:t>
            </w:r>
            <w:r w:rsidR="00D73493">
              <w:rPr>
                <w:bCs/>
              </w:rPr>
              <w:t>З</w:t>
            </w:r>
            <w:r w:rsidRPr="006C75FD">
              <w:rPr>
                <w:bCs/>
              </w:rPr>
              <w:t>мін до Правил організації</w:t>
            </w:r>
            <w:r>
              <w:rPr>
                <w:bCs/>
              </w:rPr>
              <w:t xml:space="preserve"> </w:t>
            </w:r>
            <w:r w:rsidRPr="006C75FD">
              <w:rPr>
                <w:bCs/>
              </w:rPr>
              <w:t>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16FEC54D" w14:textId="77777777" w:rsidR="00E53CCD" w:rsidRDefault="004503B0" w:rsidP="00F81309">
      <w:pPr>
        <w:spacing w:before="240" w:after="240"/>
        <w:ind w:firstLine="567"/>
        <w:rPr>
          <w:b/>
        </w:rPr>
      </w:pPr>
      <w:r w:rsidRPr="006C538A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6C538A">
        <w:br/>
        <w:t>статей 6, 7, 16 Закону України “Про державну статистику” щодо складання грошово-кредитної та фінансової статис</w:t>
      </w:r>
      <w:r w:rsidR="005B62EC">
        <w:t>тики,</w:t>
      </w:r>
      <w:r w:rsidRPr="006C538A">
        <w:t xml:space="preserve"> статистичної інформації</w:t>
      </w:r>
      <w:r w:rsidR="005B62EC">
        <w:t xml:space="preserve"> фінансових установ</w:t>
      </w:r>
      <w:r w:rsidRPr="006C538A">
        <w:t xml:space="preserve">, з метою забезпечення виконання Національним банком України регулятивних та наглядових функцій </w:t>
      </w:r>
      <w:r w:rsidR="00FB4828">
        <w:t xml:space="preserve">в умовах особливого періоду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41F0B54A" w14:textId="3962D476" w:rsidR="00D73493" w:rsidRPr="001E205E" w:rsidRDefault="00AD7DF9" w:rsidP="00CC39AA">
      <w:pPr>
        <w:spacing w:before="240" w:after="240"/>
        <w:ind w:firstLine="567"/>
      </w:pPr>
      <w:r w:rsidRPr="008B1589">
        <w:rPr>
          <w:lang w:val="ru-RU"/>
        </w:rPr>
        <w:t>1.</w:t>
      </w:r>
      <w:r w:rsidR="00D73493">
        <w:rPr>
          <w:lang w:val="en-US"/>
        </w:rPr>
        <w:t> </w:t>
      </w:r>
      <w:r w:rsidR="00D73493">
        <w:t>Затвердити Зміни до 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 грудня 2018 року № 140 (зі змінами)</w:t>
      </w:r>
      <w:r w:rsidR="00841AB6">
        <w:t xml:space="preserve"> </w:t>
      </w:r>
      <w:r w:rsidR="00841AB6" w:rsidRPr="001E205E">
        <w:t>(далі – Зміни)</w:t>
      </w:r>
      <w:r w:rsidR="00D73493" w:rsidRPr="001E205E">
        <w:t xml:space="preserve">, що додаються. </w:t>
      </w:r>
    </w:p>
    <w:p w14:paraId="1BCD1149" w14:textId="77777777" w:rsidR="00C12694" w:rsidRPr="001E205E" w:rsidRDefault="00DC266D" w:rsidP="00DC266D">
      <w:pPr>
        <w:ind w:firstLine="567"/>
        <w:rPr>
          <w:lang w:val="ru-RU"/>
        </w:rPr>
      </w:pPr>
      <w:r w:rsidRPr="001E205E">
        <w:t>2. Банки подають</w:t>
      </w:r>
      <w:r w:rsidR="00C12694" w:rsidRPr="001E205E">
        <w:rPr>
          <w:lang w:val="ru-RU"/>
        </w:rPr>
        <w:t>:</w:t>
      </w:r>
    </w:p>
    <w:p w14:paraId="448A70D6" w14:textId="77777777" w:rsidR="00C12694" w:rsidRPr="001E205E" w:rsidRDefault="00C12694" w:rsidP="00DC266D">
      <w:pPr>
        <w:ind w:firstLine="567"/>
      </w:pPr>
    </w:p>
    <w:p w14:paraId="0FFFCDE1" w14:textId="5B65D441" w:rsidR="003C4F11" w:rsidRPr="001E205E" w:rsidRDefault="00C12694" w:rsidP="00DC266D">
      <w:pPr>
        <w:ind w:firstLine="567"/>
        <w:rPr>
          <w:lang w:val="ru-RU"/>
        </w:rPr>
      </w:pPr>
      <w:r w:rsidRPr="001E205E">
        <w:rPr>
          <w:lang w:val="ru-RU"/>
        </w:rPr>
        <w:t>1)</w:t>
      </w:r>
      <w:r w:rsidRPr="001E205E">
        <w:rPr>
          <w:lang w:val="en-US"/>
        </w:rPr>
        <w:t> </w:t>
      </w:r>
      <w:r w:rsidRPr="001E205E">
        <w:t>файл 2</w:t>
      </w:r>
      <w:r w:rsidRPr="001E205E">
        <w:rPr>
          <w:lang w:val="en-US"/>
        </w:rPr>
        <w:t>FX</w:t>
      </w:r>
      <w:r w:rsidRPr="001E205E">
        <w:rPr>
          <w:lang w:val="ru-RU"/>
        </w:rPr>
        <w:t xml:space="preserve"> “</w:t>
      </w:r>
      <w:r w:rsidRPr="001E205E">
        <w:t>Дані про оцінку ризиків у сфері фінансового моніторингу</w:t>
      </w:r>
      <w:r w:rsidRPr="001E205E">
        <w:rPr>
          <w:lang w:val="ru-RU"/>
        </w:rPr>
        <w:t xml:space="preserve">” </w:t>
      </w:r>
      <w:r w:rsidRPr="001E205E">
        <w:t xml:space="preserve">починаючи зі звітної дати станом на 01 жовтня 2022 </w:t>
      </w:r>
      <w:proofErr w:type="gramStart"/>
      <w:r w:rsidRPr="001E205E">
        <w:t>року  до</w:t>
      </w:r>
      <w:proofErr w:type="gramEnd"/>
      <w:r w:rsidRPr="001E205E">
        <w:t xml:space="preserve"> 01</w:t>
      </w:r>
      <w:r w:rsidR="00D805C2" w:rsidRPr="001E205E">
        <w:t> </w:t>
      </w:r>
      <w:r w:rsidRPr="001E205E">
        <w:t>листопада 2022 року</w:t>
      </w:r>
      <w:r w:rsidRPr="001E205E">
        <w:rPr>
          <w:lang w:val="ru-RU"/>
        </w:rPr>
        <w:t>;</w:t>
      </w:r>
    </w:p>
    <w:p w14:paraId="57D765E6" w14:textId="3A8F14DF" w:rsidR="00C12694" w:rsidRPr="001E205E" w:rsidRDefault="00C12694" w:rsidP="00DC266D">
      <w:pPr>
        <w:ind w:firstLine="567"/>
        <w:rPr>
          <w:lang w:val="ru-RU"/>
        </w:rPr>
      </w:pPr>
    </w:p>
    <w:p w14:paraId="1E2079A5" w14:textId="0D45CF73" w:rsidR="00C12694" w:rsidRPr="00C12694" w:rsidRDefault="00C12694" w:rsidP="00DC266D">
      <w:pPr>
        <w:ind w:firstLine="567"/>
        <w:rPr>
          <w:lang w:val="ru-RU"/>
        </w:rPr>
      </w:pPr>
      <w:r w:rsidRPr="001E205E">
        <w:rPr>
          <w:lang w:val="ru-RU"/>
        </w:rPr>
        <w:t>2)</w:t>
      </w:r>
      <w:r w:rsidRPr="001E205E">
        <w:rPr>
          <w:lang w:val="en-US"/>
        </w:rPr>
        <w:t> </w:t>
      </w:r>
      <w:r w:rsidRPr="001E205E">
        <w:t>файл 2</w:t>
      </w:r>
      <w:r w:rsidRPr="001E205E">
        <w:rPr>
          <w:lang w:val="en-US"/>
        </w:rPr>
        <w:t>HX</w:t>
      </w:r>
      <w:r w:rsidRPr="001E205E">
        <w:t xml:space="preserve"> </w:t>
      </w:r>
      <w:r w:rsidRPr="001E205E">
        <w:rPr>
          <w:lang w:val="ru-RU"/>
        </w:rPr>
        <w:t>“</w:t>
      </w:r>
      <w:r w:rsidRPr="001E205E">
        <w:t>Інформація з питань управління ризиками у сфері фінансового моніторингу</w:t>
      </w:r>
      <w:r w:rsidRPr="001E205E">
        <w:rPr>
          <w:lang w:val="ru-RU"/>
        </w:rPr>
        <w:t xml:space="preserve">” </w:t>
      </w:r>
      <w:r w:rsidRPr="001E205E">
        <w:t>починаючи зі звітної дати станом на 01 січня 2023 року</w:t>
      </w:r>
      <w:r w:rsidR="00D805C2" w:rsidRPr="001E205E">
        <w:t>.</w:t>
      </w:r>
    </w:p>
    <w:p w14:paraId="2B85EDB1" w14:textId="77777777" w:rsidR="003C4F11" w:rsidRDefault="003C4F11" w:rsidP="003C4F11">
      <w:pPr>
        <w:spacing w:line="120" w:lineRule="auto"/>
        <w:ind w:firstLine="567"/>
      </w:pPr>
    </w:p>
    <w:p w14:paraId="7B878E90" w14:textId="77777777" w:rsidR="003C4F11" w:rsidRDefault="003C4F11" w:rsidP="003C4F11">
      <w:pPr>
        <w:spacing w:line="120" w:lineRule="auto"/>
        <w:ind w:firstLine="567"/>
      </w:pPr>
    </w:p>
    <w:p w14:paraId="1CB4EB0F" w14:textId="5879F36B" w:rsidR="003C4F11" w:rsidRPr="00D805C2" w:rsidRDefault="00D805C2" w:rsidP="003C4F11">
      <w:pPr>
        <w:ind w:firstLine="567"/>
      </w:pPr>
      <w:r w:rsidRPr="001E205E">
        <w:t>3. Небанківські установи – суб’єкти первинного фінансового моніторингу, щодо яких Національний банк</w:t>
      </w:r>
      <w:r w:rsidR="001F6F48">
        <w:t xml:space="preserve"> України</w:t>
      </w:r>
      <w:r w:rsidRPr="001E205E">
        <w:t xml:space="preserve">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подають </w:t>
      </w:r>
      <w:r w:rsidR="00300C04" w:rsidRPr="001E205E">
        <w:t>ф</w:t>
      </w:r>
      <w:r w:rsidR="00DC266D" w:rsidRPr="001E205E">
        <w:t>айл</w:t>
      </w:r>
      <w:r w:rsidRPr="001E205E">
        <w:t>и</w:t>
      </w:r>
      <w:r w:rsidR="00DC266D" w:rsidRPr="001E205E">
        <w:t xml:space="preserve"> 2</w:t>
      </w:r>
      <w:r w:rsidR="00DC266D" w:rsidRPr="001E205E">
        <w:rPr>
          <w:lang w:val="en-US"/>
        </w:rPr>
        <w:t>HX</w:t>
      </w:r>
      <w:r w:rsidR="00DC266D" w:rsidRPr="001E205E">
        <w:t xml:space="preserve"> “Інформація з питань управління ризиками у сфері фінансового моніторингу” </w:t>
      </w:r>
      <w:r w:rsidRPr="001E205E">
        <w:t>та 2</w:t>
      </w:r>
      <w:r w:rsidRPr="001E205E">
        <w:rPr>
          <w:lang w:val="en-US"/>
        </w:rPr>
        <w:t>JX</w:t>
      </w:r>
      <w:r w:rsidRPr="001E205E">
        <w:t xml:space="preserve"> “Дані з питань фінансового моніторингу про взаємодію небанківських установ зі </w:t>
      </w:r>
      <w:r w:rsidRPr="001E205E">
        <w:lastRenderedPageBreak/>
        <w:t xml:space="preserve">спеціально уповноваженим органом та про обсяги операцій клієнтів” </w:t>
      </w:r>
      <w:r w:rsidR="003C4F11" w:rsidRPr="001E205E">
        <w:t xml:space="preserve">починаючи </w:t>
      </w:r>
      <w:r w:rsidR="00DC266D" w:rsidRPr="001E205E">
        <w:t xml:space="preserve">зі звітної дати станом на </w:t>
      </w:r>
      <w:r w:rsidR="00300C04" w:rsidRPr="001E205E">
        <w:t xml:space="preserve"> </w:t>
      </w:r>
      <w:r w:rsidR="003C4F11" w:rsidRPr="001E205E">
        <w:t>01</w:t>
      </w:r>
      <w:r w:rsidRPr="001E205E">
        <w:rPr>
          <w:lang w:val="ru-RU"/>
        </w:rPr>
        <w:t> </w:t>
      </w:r>
      <w:r w:rsidRPr="001E205E">
        <w:t>жовтня 2022 року.</w:t>
      </w:r>
    </w:p>
    <w:p w14:paraId="4A67B05F" w14:textId="465A8B9A" w:rsidR="00D73493" w:rsidRDefault="00D805C2" w:rsidP="003C4F11">
      <w:pPr>
        <w:spacing w:before="240" w:after="240"/>
        <w:ind w:firstLine="567"/>
      </w:pPr>
      <w:r>
        <w:t>4</w:t>
      </w:r>
      <w:r w:rsidR="00D73493">
        <w:t xml:space="preserve">. Контроль за виконанням цієї постанови покласти на заступника Голови Національного банку України Сергія </w:t>
      </w:r>
      <w:proofErr w:type="spellStart"/>
      <w:r w:rsidR="00D73493">
        <w:t>Ніколайчука</w:t>
      </w:r>
      <w:proofErr w:type="spellEnd"/>
      <w:r w:rsidR="00D73493">
        <w:t xml:space="preserve">. </w:t>
      </w:r>
      <w:r w:rsidR="00D73493" w:rsidRPr="00953E4E">
        <w:t xml:space="preserve"> </w:t>
      </w:r>
    </w:p>
    <w:p w14:paraId="06E61A36" w14:textId="29CE9AB8" w:rsidR="00D73493" w:rsidRDefault="00D805C2" w:rsidP="003C4F11">
      <w:pPr>
        <w:spacing w:before="240" w:after="240"/>
        <w:ind w:firstLine="567"/>
      </w:pPr>
      <w:r>
        <w:t>5</w:t>
      </w:r>
      <w:r w:rsidR="00D73493">
        <w:t xml:space="preserve">. </w:t>
      </w:r>
      <w:r w:rsidR="00471668" w:rsidRPr="00841924">
        <w:t>Постанова набирає чинності з</w:t>
      </w:r>
      <w:r w:rsidR="00471668">
        <w:t xml:space="preserve"> дня, наступного за днем її офіційного опублікува</w:t>
      </w:r>
      <w:r w:rsidR="00841AB6">
        <w:t xml:space="preserve">ння, крім </w:t>
      </w:r>
      <w:r w:rsidR="00841AB6" w:rsidRPr="001E205E">
        <w:t>підпункту 2 пункту 2 Змін</w:t>
      </w:r>
      <w:r w:rsidR="00471668" w:rsidRPr="001E205E">
        <w:t>, який набирає чинності з</w:t>
      </w:r>
      <w:r w:rsidR="00471668" w:rsidRPr="001E205E">
        <w:rPr>
          <w:color w:val="000000" w:themeColor="text1"/>
        </w:rPr>
        <w:t xml:space="preserve"> </w:t>
      </w:r>
      <w:r w:rsidR="00841AB6" w:rsidRPr="001E205E">
        <w:t>18 </w:t>
      </w:r>
      <w:r w:rsidR="00471668" w:rsidRPr="001E205E">
        <w:t xml:space="preserve">жовтня </w:t>
      </w:r>
      <w:r w:rsidR="00D73493" w:rsidRPr="001E205E">
        <w:rPr>
          <w:color w:val="000000" w:themeColor="text1"/>
        </w:rPr>
        <w:t>2022 року</w:t>
      </w:r>
      <w:r w:rsidR="00D73493" w:rsidRPr="001E205E">
        <w:rPr>
          <w:rFonts w:eastAsiaTheme="minorEastAsia"/>
          <w:noProof/>
          <w:color w:val="000000" w:themeColor="text1"/>
          <w:lang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73493" w:rsidRPr="00CD0CD4" w14:paraId="136CA4F6" w14:textId="77777777" w:rsidTr="009701E6">
        <w:tc>
          <w:tcPr>
            <w:tcW w:w="5495" w:type="dxa"/>
            <w:vAlign w:val="bottom"/>
          </w:tcPr>
          <w:p w14:paraId="44883A19" w14:textId="6D05C26C" w:rsidR="00D73493" w:rsidRDefault="00D73493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11008ADE" w14:textId="7560CB1E" w:rsidR="001F6F48" w:rsidRDefault="001F6F48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1D5D4346" w14:textId="77777777" w:rsidR="001F6F48" w:rsidRDefault="001F6F48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39299890" w14:textId="77777777" w:rsidR="00D73493" w:rsidRPr="00CD0CD4" w:rsidRDefault="00D73493" w:rsidP="009701E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0BCEB118" w14:textId="77777777" w:rsidR="00D73493" w:rsidRPr="00CD0CD4" w:rsidRDefault="00D73493" w:rsidP="009701E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4A013088" w14:textId="77777777" w:rsidR="00D73493" w:rsidRPr="00CD0CD4" w:rsidRDefault="00D73493" w:rsidP="00385D36">
      <w:pPr>
        <w:spacing w:line="120" w:lineRule="auto"/>
      </w:pPr>
    </w:p>
    <w:p w14:paraId="2AAFAFF8" w14:textId="77777777" w:rsidR="00D73493" w:rsidRPr="00CD0CD4" w:rsidRDefault="00D73493" w:rsidP="00385D36">
      <w:pPr>
        <w:spacing w:line="120" w:lineRule="auto"/>
      </w:pPr>
    </w:p>
    <w:p w14:paraId="016ACF35" w14:textId="4846A864" w:rsidR="002B507A" w:rsidRPr="00385D36" w:rsidRDefault="00D73493" w:rsidP="00385D36">
      <w:pPr>
        <w:sectPr w:rsidR="002B507A" w:rsidRPr="00385D36" w:rsidSect="00320C88">
          <w:headerReference w:type="default" r:id="rId14"/>
          <w:pgSz w:w="11906" w:h="16838" w:code="9"/>
          <w:pgMar w:top="284" w:right="567" w:bottom="2268" w:left="1701" w:header="709" w:footer="709" w:gutter="0"/>
          <w:pgNumType w:start="1" w:chapStyle="1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385D36">
        <w:t>31</w:t>
      </w:r>
    </w:p>
    <w:p w14:paraId="150BB737" w14:textId="668B19D4" w:rsidR="00D73493" w:rsidRDefault="00D73493" w:rsidP="003426FF">
      <w:pPr>
        <w:ind w:firstLine="567"/>
        <w:rPr>
          <w:lang w:val="en-US"/>
        </w:rPr>
      </w:pPr>
    </w:p>
    <w:p w14:paraId="2D20712B" w14:textId="77777777" w:rsidR="008E4FA1" w:rsidRDefault="008E4FA1" w:rsidP="008E4FA1">
      <w:pPr>
        <w:ind w:left="4956" w:firstLine="567"/>
        <w:jc w:val="left"/>
      </w:pPr>
      <w:r>
        <w:t>ЗАТВЕРДЖЕНО</w:t>
      </w:r>
    </w:p>
    <w:p w14:paraId="50A24C19" w14:textId="77777777" w:rsidR="008E4FA1" w:rsidRDefault="008E4FA1" w:rsidP="008E4FA1">
      <w:pPr>
        <w:ind w:left="4956" w:firstLine="567"/>
        <w:jc w:val="left"/>
      </w:pPr>
      <w:r>
        <w:t xml:space="preserve">Постанова Правління </w:t>
      </w:r>
    </w:p>
    <w:p w14:paraId="7D4E2DE0" w14:textId="77777777" w:rsidR="008E4FA1" w:rsidRDefault="008E4FA1" w:rsidP="008E4FA1">
      <w:pPr>
        <w:ind w:left="4956" w:firstLine="567"/>
        <w:jc w:val="left"/>
      </w:pPr>
      <w:r>
        <w:t>Національного банку України</w:t>
      </w:r>
    </w:p>
    <w:p w14:paraId="3B42DF90" w14:textId="2CB86098" w:rsidR="008E4FA1" w:rsidRDefault="008E4FA1" w:rsidP="008E4FA1">
      <w:pPr>
        <w:ind w:firstLine="567"/>
        <w:jc w:val="center"/>
      </w:pPr>
      <w:r>
        <w:t xml:space="preserve">       </w:t>
      </w:r>
      <w:r w:rsidR="00BD5BD9">
        <w:t xml:space="preserve">                                                   24 серпня 2022 року № 188</w:t>
      </w:r>
      <w:r>
        <w:t xml:space="preserve">                                                  </w:t>
      </w:r>
    </w:p>
    <w:p w14:paraId="0F877474" w14:textId="77777777" w:rsidR="008E4FA1" w:rsidRDefault="008E4FA1" w:rsidP="008E4FA1">
      <w:pPr>
        <w:ind w:firstLine="567"/>
      </w:pPr>
    </w:p>
    <w:p w14:paraId="5A8B3126" w14:textId="77777777" w:rsidR="008E4FA1" w:rsidRDefault="008E4FA1" w:rsidP="008E4FA1">
      <w:pPr>
        <w:ind w:firstLine="567"/>
      </w:pPr>
    </w:p>
    <w:p w14:paraId="2D80F9E0" w14:textId="7FBC3473" w:rsidR="00D73493" w:rsidRDefault="008E4FA1" w:rsidP="008E4FA1">
      <w:pPr>
        <w:ind w:firstLine="567"/>
        <w:jc w:val="center"/>
        <w:rPr>
          <w:bCs/>
        </w:rPr>
      </w:pPr>
      <w:r>
        <w:rPr>
          <w:bCs/>
        </w:rPr>
        <w:t>З</w:t>
      </w:r>
      <w:r w:rsidRPr="006C75FD">
        <w:rPr>
          <w:bCs/>
        </w:rPr>
        <w:t>мін</w:t>
      </w:r>
      <w:r>
        <w:rPr>
          <w:bCs/>
        </w:rPr>
        <w:t>и</w:t>
      </w:r>
      <w:r w:rsidRPr="006C75FD">
        <w:rPr>
          <w:bCs/>
        </w:rPr>
        <w:t xml:space="preserve"> до Правил організації</w:t>
      </w:r>
      <w:r>
        <w:rPr>
          <w:bCs/>
        </w:rPr>
        <w:t xml:space="preserve"> </w:t>
      </w:r>
      <w:r w:rsidRPr="006C75FD">
        <w:rPr>
          <w:bCs/>
        </w:rPr>
        <w:t>статистичної звітності, що подається до Національного банку України в умовах особливого періоду</w:t>
      </w:r>
    </w:p>
    <w:p w14:paraId="723515DD" w14:textId="77777777" w:rsidR="008E4FA1" w:rsidRPr="008E4FA1" w:rsidRDefault="008E4FA1" w:rsidP="008E4FA1">
      <w:pPr>
        <w:ind w:firstLine="567"/>
        <w:jc w:val="center"/>
        <w:rPr>
          <w:bCs/>
        </w:rPr>
      </w:pPr>
    </w:p>
    <w:p w14:paraId="17BF658C" w14:textId="77777777" w:rsidR="00D73493" w:rsidRPr="008E4FA1" w:rsidRDefault="00D73493" w:rsidP="003426FF">
      <w:pPr>
        <w:ind w:firstLine="567"/>
        <w:rPr>
          <w:lang w:val="ru-RU"/>
        </w:rPr>
      </w:pPr>
    </w:p>
    <w:p w14:paraId="122EA116" w14:textId="2A25F75D" w:rsidR="00F47E84" w:rsidRDefault="00593D3C" w:rsidP="00F47E84">
      <w:pPr>
        <w:ind w:firstLine="567"/>
      </w:pPr>
      <w:r>
        <w:t xml:space="preserve">1. </w:t>
      </w:r>
      <w:r w:rsidR="00841AB6" w:rsidRPr="00A37BF3">
        <w:t>Пункт 3 розділу</w:t>
      </w:r>
      <w:r w:rsidR="00A50AB6" w:rsidRPr="00A37BF3">
        <w:t xml:space="preserve"> </w:t>
      </w:r>
      <w:r w:rsidR="00A50AB6" w:rsidRPr="00A37BF3">
        <w:rPr>
          <w:lang w:val="en-US"/>
        </w:rPr>
        <w:t>I</w:t>
      </w:r>
      <w:r w:rsidR="00A50AB6">
        <w:t xml:space="preserve"> </w:t>
      </w:r>
      <w:r w:rsidR="00A50AB6" w:rsidRPr="00A50AB6">
        <w:t>після підпункту</w:t>
      </w:r>
      <w:r w:rsidR="00A50AB6">
        <w:t xml:space="preserve"> 3</w:t>
      </w:r>
      <w:r w:rsidR="00071358">
        <w:rPr>
          <w:vertAlign w:val="superscript"/>
        </w:rPr>
        <w:t>1</w:t>
      </w:r>
      <w:r w:rsidR="00A50AB6">
        <w:t xml:space="preserve"> доповнити новим підпунктом 3</w:t>
      </w:r>
      <w:r w:rsidR="00A50AB6">
        <w:rPr>
          <w:vertAlign w:val="superscript"/>
        </w:rPr>
        <w:t>2</w:t>
      </w:r>
      <w:r w:rsidR="00A50AB6" w:rsidRPr="00A50AB6">
        <w:t xml:space="preserve"> такого змісту:</w:t>
      </w:r>
    </w:p>
    <w:p w14:paraId="5F0174AB" w14:textId="7D5AF5AA" w:rsidR="00A50AB6" w:rsidRPr="00F47E84" w:rsidRDefault="00A50AB6" w:rsidP="003426FF">
      <w:pPr>
        <w:ind w:firstLine="567"/>
      </w:pPr>
      <w:r w:rsidRPr="00F47E84">
        <w:t>“</w:t>
      </w:r>
      <w:r>
        <w:t>3</w:t>
      </w:r>
      <w:r>
        <w:rPr>
          <w:vertAlign w:val="superscript"/>
        </w:rPr>
        <w:t>2</w:t>
      </w:r>
      <w:r>
        <w:t xml:space="preserve">) </w:t>
      </w:r>
      <w:r w:rsidR="00F47E84">
        <w:t>небанківські</w:t>
      </w:r>
      <w:r w:rsidR="00F47E84" w:rsidRPr="00F47E84">
        <w:t xml:space="preserve"> установ</w:t>
      </w:r>
      <w:r w:rsidR="00F47E84">
        <w:t>и – суб’єкти</w:t>
      </w:r>
      <w:r w:rsidR="00F47E84" w:rsidRPr="00F47E84">
        <w:t xml:space="preserve"> первинного фінансового моніторингу, щодо яких Національний банк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</w:t>
      </w:r>
      <w:r w:rsidR="00F47E84" w:rsidRPr="00F47E84">
        <w:rPr>
          <w:bCs/>
        </w:rPr>
        <w:t>далі – небанківські установи-СПФМ</w:t>
      </w:r>
      <w:r w:rsidR="00F47E84" w:rsidRPr="00F47E84">
        <w:t>);”</w:t>
      </w:r>
      <w:r w:rsidR="00F47E84">
        <w:t>.</w:t>
      </w:r>
    </w:p>
    <w:p w14:paraId="3555EF72" w14:textId="468C5928" w:rsidR="00A50AB6" w:rsidRDefault="00A50AB6" w:rsidP="00F47E84"/>
    <w:p w14:paraId="278273B8" w14:textId="269FDD7A" w:rsidR="001E38EF" w:rsidRDefault="00F47E84" w:rsidP="003426FF">
      <w:pPr>
        <w:ind w:firstLine="567"/>
      </w:pPr>
      <w:r>
        <w:t xml:space="preserve">2. </w:t>
      </w:r>
      <w:r w:rsidR="00593D3C">
        <w:t>У таблиці додатка до Правил:</w:t>
      </w:r>
    </w:p>
    <w:p w14:paraId="156EC915" w14:textId="77777777" w:rsidR="001E38EF" w:rsidRDefault="001E38EF" w:rsidP="003426FF">
      <w:pPr>
        <w:ind w:firstLine="567"/>
      </w:pPr>
    </w:p>
    <w:p w14:paraId="10FCA5D9" w14:textId="1494D537" w:rsidR="00547984" w:rsidRDefault="001E38EF" w:rsidP="00683D9F">
      <w:pPr>
        <w:ind w:firstLine="567"/>
      </w:pPr>
      <w:r>
        <w:t xml:space="preserve">1) таблицю після рядка 10 доповнити </w:t>
      </w:r>
      <w:r w:rsidR="00683D9F">
        <w:t xml:space="preserve">трьома </w:t>
      </w:r>
      <w:r>
        <w:t>новими рядками</w:t>
      </w:r>
      <w:r w:rsidR="00683D9F">
        <w:t xml:space="preserve"> 11–13</w:t>
      </w:r>
      <w:r>
        <w:t xml:space="preserve"> такого змісту</w:t>
      </w:r>
      <w:r w:rsidRPr="004503B0">
        <w:t>:</w:t>
      </w:r>
      <w:r w:rsidR="00865BA3">
        <w:t xml:space="preserve"> </w:t>
      </w:r>
    </w:p>
    <w:p w14:paraId="2CC460CE" w14:textId="0CD02456" w:rsidR="00683D9F" w:rsidRDefault="00683D9F" w:rsidP="002B4AC1">
      <w:pPr>
        <w:rPr>
          <w:lang w:val="ru-RU"/>
        </w:rPr>
      </w:pPr>
      <w:r w:rsidRPr="00593D3C">
        <w:rPr>
          <w:lang w:val="ru-RU"/>
        </w:rPr>
        <w:t>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4"/>
        <w:gridCol w:w="966"/>
        <w:gridCol w:w="2119"/>
        <w:gridCol w:w="1931"/>
        <w:gridCol w:w="2077"/>
        <w:gridCol w:w="1771"/>
      </w:tblGrid>
      <w:tr w:rsidR="001C5A81" w14:paraId="5AD433C8" w14:textId="77777777" w:rsidTr="002B4AC1">
        <w:trPr>
          <w:tblHeader/>
        </w:trPr>
        <w:tc>
          <w:tcPr>
            <w:tcW w:w="781" w:type="dxa"/>
          </w:tcPr>
          <w:p w14:paraId="290441D8" w14:textId="5F878E04" w:rsidR="001C5A81" w:rsidRDefault="001C5A81" w:rsidP="00656F29">
            <w:pPr>
              <w:jc w:val="center"/>
              <w:rPr>
                <w:lang w:val="ru-RU"/>
              </w:rPr>
            </w:pPr>
            <w:r w:rsidRPr="00593D3C">
              <w:rPr>
                <w:lang w:val="ru-RU"/>
              </w:rPr>
              <w:t>1</w:t>
            </w:r>
          </w:p>
        </w:tc>
        <w:tc>
          <w:tcPr>
            <w:tcW w:w="979" w:type="dxa"/>
          </w:tcPr>
          <w:p w14:paraId="235EC32D" w14:textId="6E600BB0" w:rsidR="001C5A81" w:rsidRDefault="001C5A81" w:rsidP="00656F29">
            <w:pPr>
              <w:jc w:val="center"/>
              <w:rPr>
                <w:lang w:val="ru-RU"/>
              </w:rPr>
            </w:pPr>
            <w:r w:rsidRPr="00593D3C">
              <w:rPr>
                <w:lang w:val="ru-RU"/>
              </w:rPr>
              <w:t>2</w:t>
            </w:r>
          </w:p>
        </w:tc>
        <w:tc>
          <w:tcPr>
            <w:tcW w:w="2119" w:type="dxa"/>
          </w:tcPr>
          <w:p w14:paraId="057268AC" w14:textId="75AD4FC7" w:rsidR="001C5A81" w:rsidRDefault="001C5A81" w:rsidP="00656F29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931" w:type="dxa"/>
          </w:tcPr>
          <w:p w14:paraId="1126415D" w14:textId="14DA746A" w:rsidR="001C5A81" w:rsidRDefault="001C5A81" w:rsidP="00656F29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099" w:type="dxa"/>
          </w:tcPr>
          <w:p w14:paraId="03A64D14" w14:textId="0FD84B28" w:rsidR="001C5A81" w:rsidRDefault="001C5A81" w:rsidP="00656F29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719" w:type="dxa"/>
          </w:tcPr>
          <w:p w14:paraId="1DE7A5E6" w14:textId="097D3B8A" w:rsidR="001C5A81" w:rsidRDefault="001C5A81" w:rsidP="00656F29">
            <w:pPr>
              <w:jc w:val="center"/>
              <w:rPr>
                <w:lang w:val="ru-RU"/>
              </w:rPr>
            </w:pPr>
            <w:r>
              <w:t>6</w:t>
            </w:r>
          </w:p>
        </w:tc>
      </w:tr>
      <w:tr w:rsidR="001C5A81" w14:paraId="006612D7" w14:textId="77777777" w:rsidTr="002B4AC1">
        <w:tc>
          <w:tcPr>
            <w:tcW w:w="781" w:type="dxa"/>
          </w:tcPr>
          <w:p w14:paraId="19D36796" w14:textId="7DB0EE72" w:rsidR="001C5A81" w:rsidRDefault="001C5A81" w:rsidP="002B4AC1">
            <w:pPr>
              <w:jc w:val="center"/>
              <w:rPr>
                <w:lang w:val="ru-RU"/>
              </w:rPr>
            </w:pPr>
            <w:r w:rsidRPr="00593D3C">
              <w:rPr>
                <w:lang w:val="ru-RU"/>
              </w:rPr>
              <w:t>11</w:t>
            </w:r>
          </w:p>
        </w:tc>
        <w:tc>
          <w:tcPr>
            <w:tcW w:w="979" w:type="dxa"/>
          </w:tcPr>
          <w:p w14:paraId="5E39967E" w14:textId="07B87A3D" w:rsidR="001C5A81" w:rsidRDefault="001C5A81" w:rsidP="002B4AC1">
            <w:pPr>
              <w:jc w:val="center"/>
              <w:rPr>
                <w:lang w:val="ru-RU"/>
              </w:rPr>
            </w:pPr>
            <w:r w:rsidRPr="00683D9F">
              <w:t>2FX</w:t>
            </w:r>
          </w:p>
        </w:tc>
        <w:tc>
          <w:tcPr>
            <w:tcW w:w="2119" w:type="dxa"/>
          </w:tcPr>
          <w:p w14:paraId="624F5808" w14:textId="4B361C26" w:rsidR="001C5A81" w:rsidRDefault="001C5A81" w:rsidP="001C5A81">
            <w:pPr>
              <w:rPr>
                <w:lang w:val="ru-RU"/>
              </w:rPr>
            </w:pPr>
            <w:r w:rsidRPr="00683D9F">
              <w:t>Дані про оцінку ризиків у сфері фінансового моніторингу</w:t>
            </w:r>
          </w:p>
        </w:tc>
        <w:tc>
          <w:tcPr>
            <w:tcW w:w="1931" w:type="dxa"/>
          </w:tcPr>
          <w:p w14:paraId="18F11934" w14:textId="75E2BB2A" w:rsidR="001C5A81" w:rsidRDefault="001C5A81" w:rsidP="001C5A81">
            <w:pPr>
              <w:rPr>
                <w:lang w:val="ru-RU"/>
              </w:rPr>
            </w:pPr>
            <w:r w:rsidRPr="00683D9F">
              <w:t>Квартальна</w:t>
            </w:r>
          </w:p>
        </w:tc>
        <w:tc>
          <w:tcPr>
            <w:tcW w:w="2099" w:type="dxa"/>
          </w:tcPr>
          <w:p w14:paraId="7460A1C0" w14:textId="1633208A" w:rsidR="001C5A81" w:rsidRDefault="001C5A81" w:rsidP="001C5A81">
            <w:pPr>
              <w:rPr>
                <w:lang w:val="ru-RU"/>
              </w:rPr>
            </w:pPr>
            <w:r w:rsidRPr="00683D9F">
              <w:t>Не пізніше 10 робочого дня місяця, наступного за звітним кварталом</w:t>
            </w:r>
          </w:p>
        </w:tc>
        <w:tc>
          <w:tcPr>
            <w:tcW w:w="1719" w:type="dxa"/>
          </w:tcPr>
          <w:p w14:paraId="3A2A35FE" w14:textId="4273FF5C" w:rsidR="001C5A81" w:rsidRDefault="001C5A81" w:rsidP="001C5A81">
            <w:pPr>
              <w:rPr>
                <w:lang w:val="ru-RU"/>
              </w:rPr>
            </w:pPr>
            <w:r w:rsidRPr="00683D9F">
              <w:t>Банки</w:t>
            </w:r>
          </w:p>
        </w:tc>
      </w:tr>
      <w:tr w:rsidR="001C5A81" w14:paraId="15EA558D" w14:textId="77777777" w:rsidTr="002B4AC1">
        <w:tc>
          <w:tcPr>
            <w:tcW w:w="781" w:type="dxa"/>
          </w:tcPr>
          <w:p w14:paraId="66ED731B" w14:textId="77185338" w:rsidR="001C5A81" w:rsidRDefault="001C5A81" w:rsidP="002B4AC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79" w:type="dxa"/>
          </w:tcPr>
          <w:p w14:paraId="3E65CB12" w14:textId="7B3D93A3" w:rsidR="001C5A81" w:rsidRDefault="001C5A81" w:rsidP="002B4AC1">
            <w:pPr>
              <w:jc w:val="center"/>
              <w:rPr>
                <w:lang w:val="ru-RU"/>
              </w:rPr>
            </w:pPr>
            <w:r w:rsidRPr="00683D9F">
              <w:t>2HX</w:t>
            </w:r>
          </w:p>
        </w:tc>
        <w:tc>
          <w:tcPr>
            <w:tcW w:w="2119" w:type="dxa"/>
          </w:tcPr>
          <w:p w14:paraId="622C47DB" w14:textId="0455BDA5" w:rsidR="001C5A81" w:rsidRDefault="001C5A81" w:rsidP="001C5A81">
            <w:pPr>
              <w:rPr>
                <w:lang w:val="ru-RU"/>
              </w:rPr>
            </w:pPr>
            <w:r w:rsidRPr="00683D9F">
              <w:t>Інформація з питань управління ризиками у сфері фінансового моніторингу</w:t>
            </w:r>
          </w:p>
        </w:tc>
        <w:tc>
          <w:tcPr>
            <w:tcW w:w="1931" w:type="dxa"/>
          </w:tcPr>
          <w:p w14:paraId="57CD7FFD" w14:textId="5D297DB1" w:rsidR="001C5A81" w:rsidRDefault="001C5A81" w:rsidP="001C5A81">
            <w:pPr>
              <w:rPr>
                <w:lang w:val="ru-RU"/>
              </w:rPr>
            </w:pPr>
            <w:r w:rsidRPr="00683D9F">
              <w:t xml:space="preserve">Для банків </w:t>
            </w:r>
            <w:r>
              <w:t>– річна, для небанківсь</w:t>
            </w:r>
            <w:r w:rsidRPr="00683D9F">
              <w:t>ких установ</w:t>
            </w:r>
            <w:r w:rsidR="006D5909">
              <w:rPr>
                <w:bCs/>
              </w:rPr>
              <w:t>-</w:t>
            </w:r>
            <w:r w:rsidR="006D5909" w:rsidRPr="00F47E84">
              <w:rPr>
                <w:bCs/>
              </w:rPr>
              <w:t>СПФМ</w:t>
            </w:r>
            <w:r w:rsidRPr="00683D9F">
              <w:t xml:space="preserve"> – двічі на рік</w:t>
            </w:r>
          </w:p>
        </w:tc>
        <w:tc>
          <w:tcPr>
            <w:tcW w:w="2099" w:type="dxa"/>
          </w:tcPr>
          <w:p w14:paraId="01B3E82D" w14:textId="47EC13C0" w:rsidR="001C5A81" w:rsidRDefault="001C5A81" w:rsidP="001C5A81">
            <w:pPr>
              <w:rPr>
                <w:lang w:val="ru-RU"/>
              </w:rPr>
            </w:pPr>
            <w:r w:rsidRPr="00683D9F">
              <w:t>Банки – не пізніше 10 робочого дня січня, наступного за звітним періодом; небанківські установи</w:t>
            </w:r>
            <w:r w:rsidR="006D5909" w:rsidRPr="00F47E84">
              <w:rPr>
                <w:bCs/>
              </w:rPr>
              <w:t>-СПФМ</w:t>
            </w:r>
            <w:r w:rsidRPr="00683D9F">
              <w:t xml:space="preserve"> – не пізніше 11 робочого дня квітня за період із 01 </w:t>
            </w:r>
            <w:r w:rsidRPr="00683D9F">
              <w:lastRenderedPageBreak/>
              <w:t>жовтня минулого року до 31 березня поточного року та не пізніше 11 робочого дня жовтня за період із 01 квітня до 30 вересня поточного року</w:t>
            </w:r>
          </w:p>
        </w:tc>
        <w:tc>
          <w:tcPr>
            <w:tcW w:w="1719" w:type="dxa"/>
          </w:tcPr>
          <w:p w14:paraId="6DDEC2F6" w14:textId="5996C314" w:rsidR="001C5A81" w:rsidRDefault="001C5A81" w:rsidP="001C5A81">
            <w:pPr>
              <w:rPr>
                <w:lang w:val="ru-RU"/>
              </w:rPr>
            </w:pPr>
            <w:r>
              <w:lastRenderedPageBreak/>
              <w:t>Банки, небанківські установи</w:t>
            </w:r>
            <w:r w:rsidR="006D5909" w:rsidRPr="00F47E84">
              <w:rPr>
                <w:bCs/>
              </w:rPr>
              <w:t>-СПФМ</w:t>
            </w:r>
          </w:p>
        </w:tc>
      </w:tr>
      <w:tr w:rsidR="00656F29" w:rsidRPr="001237D1" w14:paraId="45D4DFA0" w14:textId="77777777" w:rsidTr="002B4AC1">
        <w:tc>
          <w:tcPr>
            <w:tcW w:w="781" w:type="dxa"/>
          </w:tcPr>
          <w:p w14:paraId="4F6B5493" w14:textId="4F50F4E1" w:rsidR="00656F29" w:rsidRPr="00656F29" w:rsidRDefault="00656F29" w:rsidP="002B4AC1">
            <w:pPr>
              <w:jc w:val="center"/>
            </w:pPr>
            <w:r>
              <w:t>13</w:t>
            </w:r>
          </w:p>
        </w:tc>
        <w:tc>
          <w:tcPr>
            <w:tcW w:w="979" w:type="dxa"/>
          </w:tcPr>
          <w:p w14:paraId="6398737A" w14:textId="652ABA6E" w:rsidR="00656F29" w:rsidRPr="00656F29" w:rsidRDefault="00656F29" w:rsidP="002B4AC1">
            <w:pPr>
              <w:jc w:val="center"/>
            </w:pPr>
            <w:r>
              <w:t>2</w:t>
            </w:r>
            <w:r>
              <w:rPr>
                <w:lang w:val="en-US"/>
              </w:rPr>
              <w:t>JX</w:t>
            </w:r>
          </w:p>
        </w:tc>
        <w:tc>
          <w:tcPr>
            <w:tcW w:w="2119" w:type="dxa"/>
          </w:tcPr>
          <w:p w14:paraId="6A92F49F" w14:textId="1E1D556F" w:rsidR="00656F29" w:rsidRPr="00683D9F" w:rsidRDefault="00656F29" w:rsidP="001C5A81">
            <w:r>
              <w:t xml:space="preserve">Дані з питань фінансового моніторингу </w:t>
            </w:r>
            <w:r w:rsidRPr="00656F29">
              <w:t>про взаємодію небанківських установ зі спеціально уповноваженим органом та про обсяги операцій клієнтів</w:t>
            </w:r>
          </w:p>
        </w:tc>
        <w:tc>
          <w:tcPr>
            <w:tcW w:w="1931" w:type="dxa"/>
          </w:tcPr>
          <w:p w14:paraId="22BF67C8" w14:textId="078E181C" w:rsidR="00656F29" w:rsidRPr="00683D9F" w:rsidRDefault="001237D1" w:rsidP="001C5A81">
            <w:r>
              <w:t>Квартальна</w:t>
            </w:r>
          </w:p>
        </w:tc>
        <w:tc>
          <w:tcPr>
            <w:tcW w:w="2099" w:type="dxa"/>
          </w:tcPr>
          <w:p w14:paraId="23FD2C57" w14:textId="6B532199" w:rsidR="00656F29" w:rsidRPr="00683D9F" w:rsidRDefault="001237D1" w:rsidP="001C5A81">
            <w:r w:rsidRPr="001237D1">
              <w:t>Не пізніше 10 робочого дня місяця, наступного за звітним кварталом</w:t>
            </w:r>
          </w:p>
        </w:tc>
        <w:tc>
          <w:tcPr>
            <w:tcW w:w="1719" w:type="dxa"/>
          </w:tcPr>
          <w:p w14:paraId="429AC06D" w14:textId="43655643" w:rsidR="00656F29" w:rsidRDefault="007F07D3" w:rsidP="001C5A81">
            <w:r>
              <w:t>Н</w:t>
            </w:r>
            <w:r w:rsidR="00FC2074">
              <w:t>ебанківські установи</w:t>
            </w:r>
            <w:r w:rsidR="00FC2074" w:rsidRPr="00F47E84">
              <w:rPr>
                <w:bCs/>
              </w:rPr>
              <w:t>-СПФМ</w:t>
            </w:r>
          </w:p>
        </w:tc>
      </w:tr>
    </w:tbl>
    <w:p w14:paraId="76C49797" w14:textId="226C7B5C" w:rsidR="00593D3C" w:rsidRPr="00135082" w:rsidRDefault="00EE1847" w:rsidP="00073500">
      <w:pPr>
        <w:tabs>
          <w:tab w:val="left" w:pos="9214"/>
        </w:tabs>
      </w:pPr>
      <w:r w:rsidRPr="00750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E7ED9" wp14:editId="25AE9179">
                <wp:simplePos x="0" y="0"/>
                <wp:positionH relativeFrom="margin">
                  <wp:posOffset>4164965</wp:posOffset>
                </wp:positionH>
                <wp:positionV relativeFrom="paragraph">
                  <wp:posOffset>-5588000</wp:posOffset>
                </wp:positionV>
                <wp:extent cx="1892596" cy="5207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596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29F2" w14:textId="77777777" w:rsidR="00EE1847" w:rsidRDefault="00EE1847" w:rsidP="00EE1847">
                            <w:r>
                              <w:t>Продовження додатка</w:t>
                            </w:r>
                          </w:p>
                          <w:p w14:paraId="27EF254C" w14:textId="77777777" w:rsidR="00EE1847" w:rsidRPr="008D230C" w:rsidRDefault="00EE1847" w:rsidP="00EE18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7ED9" id="Прямокутник 3" o:spid="_x0000_s1026" style="position:absolute;left:0;text-align:left;margin-left:327.95pt;margin-top:-440pt;width:149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" stroked="f">
                <v:textbox>
                  <w:txbxContent>
                    <w:p w14:paraId="656D29F2" w14:textId="77777777" w:rsidR="00EE1847" w:rsidRDefault="00EE1847" w:rsidP="00EE1847">
                      <w:r>
                        <w:t>Продовження додатка</w:t>
                      </w:r>
                    </w:p>
                    <w:p w14:paraId="27EF254C" w14:textId="77777777" w:rsidR="00EE1847" w:rsidRPr="008D230C" w:rsidRDefault="00EE1847" w:rsidP="00EE184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5909" w:rsidRPr="00750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CF39" wp14:editId="4073E2E1">
                <wp:simplePos x="0" y="0"/>
                <wp:positionH relativeFrom="margin">
                  <wp:align>right</wp:align>
                </wp:positionH>
                <wp:positionV relativeFrom="paragraph">
                  <wp:posOffset>-8990965</wp:posOffset>
                </wp:positionV>
                <wp:extent cx="1892596" cy="499730"/>
                <wp:effectExtent l="0" t="0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596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F9E96" w14:textId="77777777" w:rsidR="00435DAF" w:rsidRDefault="00435DAF" w:rsidP="00435DAF">
                            <w:r>
                              <w:t>Продовження додатка</w:t>
                            </w:r>
                          </w:p>
                          <w:p w14:paraId="3BE38DF9" w14:textId="77777777" w:rsidR="00435DAF" w:rsidRPr="008D230C" w:rsidRDefault="00435DAF" w:rsidP="00435DA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CF39" id="Прямокутник 1" o:spid="_x0000_s1027" style="position:absolute;left:0;text-align:left;margin-left:97.8pt;margin-top:-707.95pt;width:149pt;height:39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" stroked="f">
                <v:textbox>
                  <w:txbxContent>
                    <w:p w14:paraId="162F9E96" w14:textId="77777777" w:rsidR="00435DAF" w:rsidRDefault="00435DAF" w:rsidP="00435DAF">
                      <w:r>
                        <w:t>Продовження додатка</w:t>
                      </w:r>
                    </w:p>
                    <w:p w14:paraId="3BE38DF9" w14:textId="77777777" w:rsidR="00435DAF" w:rsidRPr="008D230C" w:rsidRDefault="00435DAF" w:rsidP="00435DAF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3D3C" w:rsidRPr="001237D1">
        <w:t xml:space="preserve">                                                                                                             </w:t>
      </w:r>
      <w:r w:rsidR="00135082" w:rsidRPr="001237D1">
        <w:t xml:space="preserve">                </w:t>
      </w:r>
      <w:r w:rsidR="00073500">
        <w:t xml:space="preserve">      </w:t>
      </w:r>
      <w:r w:rsidR="00135082" w:rsidRPr="001237D1">
        <w:t xml:space="preserve"> </w:t>
      </w:r>
      <w:r w:rsidR="00593D3C" w:rsidRPr="00FA101D">
        <w:rPr>
          <w:lang w:val="ru-RU"/>
        </w:rPr>
        <w:t>”</w:t>
      </w:r>
      <w:r w:rsidR="00135082">
        <w:t>.</w:t>
      </w:r>
    </w:p>
    <w:p w14:paraId="64ADD3F8" w14:textId="66842677" w:rsidR="00683D9F" w:rsidRDefault="003C6E4C" w:rsidP="00683D9F">
      <w:pPr>
        <w:ind w:firstLine="567"/>
      </w:pPr>
      <w:r>
        <w:t>У зв’язку з цим рядки 11–40 уважати відповідно рядками 14–43;</w:t>
      </w:r>
    </w:p>
    <w:p w14:paraId="010A9613" w14:textId="57FA1410" w:rsidR="003C6E4C" w:rsidRDefault="003C6E4C" w:rsidP="00683D9F">
      <w:pPr>
        <w:ind w:firstLine="567"/>
      </w:pPr>
    </w:p>
    <w:p w14:paraId="40FA0F08" w14:textId="37DB58A6" w:rsidR="003426FF" w:rsidRDefault="003C6E4C" w:rsidP="001440F9">
      <w:pPr>
        <w:ind w:firstLine="567"/>
      </w:pPr>
      <w:r>
        <w:t>2)</w:t>
      </w:r>
      <w:r w:rsidR="001440F9">
        <w:t xml:space="preserve"> рядок 23</w:t>
      </w:r>
      <w:r w:rsidR="003426FF">
        <w:t xml:space="preserve"> виключити.</w:t>
      </w:r>
    </w:p>
    <w:p w14:paraId="203682DB" w14:textId="1C419C0D" w:rsidR="00E11119" w:rsidRDefault="003426FF" w:rsidP="003426FF">
      <w:pPr>
        <w:ind w:firstLine="567"/>
      </w:pPr>
      <w:r>
        <w:t>У зв’</w:t>
      </w:r>
      <w:r w:rsidR="001440F9">
        <w:t>язку з цим рядки 24–43 уважати відповідно рядками 23–42</w:t>
      </w:r>
      <w:r>
        <w:t>.</w:t>
      </w:r>
    </w:p>
    <w:p w14:paraId="5E211FC7" w14:textId="537FA769" w:rsidR="000A13A2" w:rsidRPr="00CA3510" w:rsidRDefault="000A13A2" w:rsidP="003426FF">
      <w:pPr>
        <w:ind w:firstLine="567"/>
      </w:pPr>
    </w:p>
    <w:p w14:paraId="4CBA4D14" w14:textId="77777777" w:rsidR="00BD6448" w:rsidRDefault="00BD6448">
      <w:pPr>
        <w:ind w:firstLine="567"/>
      </w:pPr>
    </w:p>
    <w:sectPr w:rsidR="00BD6448" w:rsidSect="009959F0"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70690" w14:textId="77777777" w:rsidR="00C507DC" w:rsidRDefault="00C507DC" w:rsidP="00E53CCD">
      <w:r>
        <w:separator/>
      </w:r>
    </w:p>
  </w:endnote>
  <w:endnote w:type="continuationSeparator" w:id="0">
    <w:p w14:paraId="15DD1F15" w14:textId="77777777" w:rsidR="00C507DC" w:rsidRDefault="00C507D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9060" w14:textId="77777777" w:rsidR="00C507DC" w:rsidRDefault="00C507DC" w:rsidP="00E53CCD">
      <w:r>
        <w:separator/>
      </w:r>
    </w:p>
  </w:footnote>
  <w:footnote w:type="continuationSeparator" w:id="0">
    <w:p w14:paraId="3A52B69B" w14:textId="77777777" w:rsidR="00C507DC" w:rsidRDefault="00C507D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875630"/>
      <w:docPartObj>
        <w:docPartGallery w:val="Page Numbers (Top of Page)"/>
        <w:docPartUnique/>
      </w:docPartObj>
    </w:sdtPr>
    <w:sdtEndPr/>
    <w:sdtContent>
      <w:p w14:paraId="4EAB3796" w14:textId="42B90574" w:rsidR="00CC306D" w:rsidRDefault="00CC3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00">
          <w:rPr>
            <w:noProof/>
          </w:rPr>
          <w:t>2</w:t>
        </w:r>
        <w:r>
          <w:fldChar w:fldCharType="end"/>
        </w:r>
      </w:p>
    </w:sdtContent>
  </w:sdt>
  <w:p w14:paraId="1CAC3D3D" w14:textId="77777777" w:rsidR="000C1731" w:rsidRDefault="000C17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37C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71358"/>
    <w:rsid w:val="00073500"/>
    <w:rsid w:val="00082A1E"/>
    <w:rsid w:val="0009441D"/>
    <w:rsid w:val="00094E65"/>
    <w:rsid w:val="000952F2"/>
    <w:rsid w:val="000A13A2"/>
    <w:rsid w:val="000A3BE3"/>
    <w:rsid w:val="000A5EA0"/>
    <w:rsid w:val="000B261D"/>
    <w:rsid w:val="000B2990"/>
    <w:rsid w:val="000C1731"/>
    <w:rsid w:val="000C328B"/>
    <w:rsid w:val="000D075D"/>
    <w:rsid w:val="000D5EC6"/>
    <w:rsid w:val="000D778F"/>
    <w:rsid w:val="000E0CB3"/>
    <w:rsid w:val="000E37FB"/>
    <w:rsid w:val="000E5B8C"/>
    <w:rsid w:val="000E62CA"/>
    <w:rsid w:val="000E7A13"/>
    <w:rsid w:val="000F020D"/>
    <w:rsid w:val="00106229"/>
    <w:rsid w:val="00110D21"/>
    <w:rsid w:val="00115ECF"/>
    <w:rsid w:val="001237D1"/>
    <w:rsid w:val="00135082"/>
    <w:rsid w:val="00137D7D"/>
    <w:rsid w:val="001440F9"/>
    <w:rsid w:val="00147D8A"/>
    <w:rsid w:val="001631E2"/>
    <w:rsid w:val="0016455F"/>
    <w:rsid w:val="001716B0"/>
    <w:rsid w:val="001740C0"/>
    <w:rsid w:val="00175B3A"/>
    <w:rsid w:val="00186AFE"/>
    <w:rsid w:val="00190E1A"/>
    <w:rsid w:val="00191EC7"/>
    <w:rsid w:val="00197701"/>
    <w:rsid w:val="001A0EE5"/>
    <w:rsid w:val="001A16FA"/>
    <w:rsid w:val="001A4CB9"/>
    <w:rsid w:val="001A6795"/>
    <w:rsid w:val="001C206C"/>
    <w:rsid w:val="001C5A81"/>
    <w:rsid w:val="001D487A"/>
    <w:rsid w:val="001E205E"/>
    <w:rsid w:val="001E38EF"/>
    <w:rsid w:val="001F0123"/>
    <w:rsid w:val="001F3789"/>
    <w:rsid w:val="001F6F48"/>
    <w:rsid w:val="002074A1"/>
    <w:rsid w:val="00211BB0"/>
    <w:rsid w:val="00212D0A"/>
    <w:rsid w:val="00212ED6"/>
    <w:rsid w:val="002238D1"/>
    <w:rsid w:val="002268F9"/>
    <w:rsid w:val="00233F37"/>
    <w:rsid w:val="00241373"/>
    <w:rsid w:val="0024216A"/>
    <w:rsid w:val="00251DD4"/>
    <w:rsid w:val="00253BF9"/>
    <w:rsid w:val="00255D3D"/>
    <w:rsid w:val="00264983"/>
    <w:rsid w:val="00266678"/>
    <w:rsid w:val="00273C4C"/>
    <w:rsid w:val="00276988"/>
    <w:rsid w:val="00280DCC"/>
    <w:rsid w:val="00285AA8"/>
    <w:rsid w:val="00285DDA"/>
    <w:rsid w:val="00290169"/>
    <w:rsid w:val="0029463B"/>
    <w:rsid w:val="00294DB6"/>
    <w:rsid w:val="002A2391"/>
    <w:rsid w:val="002A65AB"/>
    <w:rsid w:val="002B09E8"/>
    <w:rsid w:val="002B351E"/>
    <w:rsid w:val="002B3F71"/>
    <w:rsid w:val="002B4AC1"/>
    <w:rsid w:val="002B4FED"/>
    <w:rsid w:val="002B507A"/>
    <w:rsid w:val="002B582B"/>
    <w:rsid w:val="002B6494"/>
    <w:rsid w:val="002C1FDB"/>
    <w:rsid w:val="002C7082"/>
    <w:rsid w:val="002D1790"/>
    <w:rsid w:val="002E4F06"/>
    <w:rsid w:val="002F0617"/>
    <w:rsid w:val="002F338C"/>
    <w:rsid w:val="002F48EF"/>
    <w:rsid w:val="00300C04"/>
    <w:rsid w:val="00320C88"/>
    <w:rsid w:val="00326B70"/>
    <w:rsid w:val="00331332"/>
    <w:rsid w:val="00332701"/>
    <w:rsid w:val="00333F3A"/>
    <w:rsid w:val="00340D07"/>
    <w:rsid w:val="00341DB7"/>
    <w:rsid w:val="003426FF"/>
    <w:rsid w:val="00345982"/>
    <w:rsid w:val="00356E34"/>
    <w:rsid w:val="00357676"/>
    <w:rsid w:val="00365A10"/>
    <w:rsid w:val="0038385E"/>
    <w:rsid w:val="00384F65"/>
    <w:rsid w:val="00385D36"/>
    <w:rsid w:val="0039725C"/>
    <w:rsid w:val="003A16E7"/>
    <w:rsid w:val="003A751F"/>
    <w:rsid w:val="003B429A"/>
    <w:rsid w:val="003C3282"/>
    <w:rsid w:val="003C3985"/>
    <w:rsid w:val="003C4F11"/>
    <w:rsid w:val="003C6E4C"/>
    <w:rsid w:val="003D599A"/>
    <w:rsid w:val="003D6B33"/>
    <w:rsid w:val="003F0441"/>
    <w:rsid w:val="003F28B5"/>
    <w:rsid w:val="003F7093"/>
    <w:rsid w:val="00401EDB"/>
    <w:rsid w:val="00404C93"/>
    <w:rsid w:val="00407877"/>
    <w:rsid w:val="00411203"/>
    <w:rsid w:val="004130B9"/>
    <w:rsid w:val="0043496A"/>
    <w:rsid w:val="00434CB5"/>
    <w:rsid w:val="00435DAF"/>
    <w:rsid w:val="00446704"/>
    <w:rsid w:val="004503B0"/>
    <w:rsid w:val="00455B45"/>
    <w:rsid w:val="00460BA2"/>
    <w:rsid w:val="0046294F"/>
    <w:rsid w:val="004666D6"/>
    <w:rsid w:val="00471668"/>
    <w:rsid w:val="00475802"/>
    <w:rsid w:val="004856C8"/>
    <w:rsid w:val="0049208A"/>
    <w:rsid w:val="0049274C"/>
    <w:rsid w:val="0049647D"/>
    <w:rsid w:val="004A1CFC"/>
    <w:rsid w:val="004A7F75"/>
    <w:rsid w:val="004B1FE9"/>
    <w:rsid w:val="004B5574"/>
    <w:rsid w:val="004D2B57"/>
    <w:rsid w:val="004D6110"/>
    <w:rsid w:val="004E22E2"/>
    <w:rsid w:val="004E6488"/>
    <w:rsid w:val="0050563F"/>
    <w:rsid w:val="00516FCB"/>
    <w:rsid w:val="005212A1"/>
    <w:rsid w:val="005212C5"/>
    <w:rsid w:val="00523C13"/>
    <w:rsid w:val="00524F07"/>
    <w:rsid w:val="005257C2"/>
    <w:rsid w:val="005319D6"/>
    <w:rsid w:val="00532633"/>
    <w:rsid w:val="005403F1"/>
    <w:rsid w:val="00542533"/>
    <w:rsid w:val="00547984"/>
    <w:rsid w:val="005505D8"/>
    <w:rsid w:val="005624B6"/>
    <w:rsid w:val="00562C46"/>
    <w:rsid w:val="005658D9"/>
    <w:rsid w:val="005700C5"/>
    <w:rsid w:val="0057237F"/>
    <w:rsid w:val="00577402"/>
    <w:rsid w:val="005822CB"/>
    <w:rsid w:val="00586492"/>
    <w:rsid w:val="00586E9C"/>
    <w:rsid w:val="00593D3C"/>
    <w:rsid w:val="005954E4"/>
    <w:rsid w:val="00597AB6"/>
    <w:rsid w:val="005A0B7C"/>
    <w:rsid w:val="005A0F4B"/>
    <w:rsid w:val="005A1D3C"/>
    <w:rsid w:val="005A3F34"/>
    <w:rsid w:val="005A722F"/>
    <w:rsid w:val="005B2D03"/>
    <w:rsid w:val="005B3056"/>
    <w:rsid w:val="005B62EC"/>
    <w:rsid w:val="005C57F1"/>
    <w:rsid w:val="005C5CBF"/>
    <w:rsid w:val="005D3B88"/>
    <w:rsid w:val="005D45F5"/>
    <w:rsid w:val="005E3D3B"/>
    <w:rsid w:val="005E3FA8"/>
    <w:rsid w:val="005F4CB4"/>
    <w:rsid w:val="005F6B35"/>
    <w:rsid w:val="0060050E"/>
    <w:rsid w:val="006013B5"/>
    <w:rsid w:val="0061253F"/>
    <w:rsid w:val="006239E1"/>
    <w:rsid w:val="00623F91"/>
    <w:rsid w:val="00640612"/>
    <w:rsid w:val="00641BA5"/>
    <w:rsid w:val="0064227D"/>
    <w:rsid w:val="0065179F"/>
    <w:rsid w:val="00652A71"/>
    <w:rsid w:val="00654276"/>
    <w:rsid w:val="006566E2"/>
    <w:rsid w:val="00656F29"/>
    <w:rsid w:val="00657593"/>
    <w:rsid w:val="006646BC"/>
    <w:rsid w:val="00670C95"/>
    <w:rsid w:val="00683D9F"/>
    <w:rsid w:val="006847CE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C75FD"/>
    <w:rsid w:val="006D2617"/>
    <w:rsid w:val="006D3CEE"/>
    <w:rsid w:val="006D5909"/>
    <w:rsid w:val="00700AA3"/>
    <w:rsid w:val="00701E36"/>
    <w:rsid w:val="007142BA"/>
    <w:rsid w:val="00714823"/>
    <w:rsid w:val="00714FD8"/>
    <w:rsid w:val="00717197"/>
    <w:rsid w:val="0071789F"/>
    <w:rsid w:val="007225A7"/>
    <w:rsid w:val="007226A0"/>
    <w:rsid w:val="00722C3D"/>
    <w:rsid w:val="00730088"/>
    <w:rsid w:val="007303A1"/>
    <w:rsid w:val="007355DA"/>
    <w:rsid w:val="007367C7"/>
    <w:rsid w:val="00742472"/>
    <w:rsid w:val="00747222"/>
    <w:rsid w:val="00750898"/>
    <w:rsid w:val="00773559"/>
    <w:rsid w:val="007769C7"/>
    <w:rsid w:val="0078127A"/>
    <w:rsid w:val="00783AF2"/>
    <w:rsid w:val="007878AE"/>
    <w:rsid w:val="00787E46"/>
    <w:rsid w:val="0079401A"/>
    <w:rsid w:val="007A2BCB"/>
    <w:rsid w:val="007A5DB7"/>
    <w:rsid w:val="007A6609"/>
    <w:rsid w:val="007B3538"/>
    <w:rsid w:val="007B4A3D"/>
    <w:rsid w:val="007B5765"/>
    <w:rsid w:val="007B6D2D"/>
    <w:rsid w:val="007B7428"/>
    <w:rsid w:val="007B7B73"/>
    <w:rsid w:val="007C00C8"/>
    <w:rsid w:val="007C2CED"/>
    <w:rsid w:val="007C2E55"/>
    <w:rsid w:val="007D15C5"/>
    <w:rsid w:val="007F07D3"/>
    <w:rsid w:val="007F5915"/>
    <w:rsid w:val="00802988"/>
    <w:rsid w:val="008113C2"/>
    <w:rsid w:val="008309A3"/>
    <w:rsid w:val="00831EF3"/>
    <w:rsid w:val="008415A0"/>
    <w:rsid w:val="00841AB6"/>
    <w:rsid w:val="0085364B"/>
    <w:rsid w:val="00865BA3"/>
    <w:rsid w:val="00866993"/>
    <w:rsid w:val="00867DF7"/>
    <w:rsid w:val="008710DC"/>
    <w:rsid w:val="00874366"/>
    <w:rsid w:val="008762D8"/>
    <w:rsid w:val="008767C0"/>
    <w:rsid w:val="00897035"/>
    <w:rsid w:val="008A4370"/>
    <w:rsid w:val="008B1589"/>
    <w:rsid w:val="008B74DD"/>
    <w:rsid w:val="008C2C66"/>
    <w:rsid w:val="008C72B5"/>
    <w:rsid w:val="008D10FD"/>
    <w:rsid w:val="008D122F"/>
    <w:rsid w:val="008D3EC7"/>
    <w:rsid w:val="008D5F60"/>
    <w:rsid w:val="008D727F"/>
    <w:rsid w:val="008D7931"/>
    <w:rsid w:val="008E28FF"/>
    <w:rsid w:val="008E3256"/>
    <w:rsid w:val="008E4FA1"/>
    <w:rsid w:val="008E6042"/>
    <w:rsid w:val="008F0210"/>
    <w:rsid w:val="008F2600"/>
    <w:rsid w:val="008F5D52"/>
    <w:rsid w:val="009008BF"/>
    <w:rsid w:val="00904F17"/>
    <w:rsid w:val="00907F91"/>
    <w:rsid w:val="0091023B"/>
    <w:rsid w:val="00912F46"/>
    <w:rsid w:val="00920F51"/>
    <w:rsid w:val="009224B5"/>
    <w:rsid w:val="00922966"/>
    <w:rsid w:val="0092710A"/>
    <w:rsid w:val="00937AE3"/>
    <w:rsid w:val="00937D24"/>
    <w:rsid w:val="00943175"/>
    <w:rsid w:val="009535C6"/>
    <w:rsid w:val="00954131"/>
    <w:rsid w:val="00956D26"/>
    <w:rsid w:val="0095741D"/>
    <w:rsid w:val="00957EE4"/>
    <w:rsid w:val="0097288F"/>
    <w:rsid w:val="0098207E"/>
    <w:rsid w:val="00985325"/>
    <w:rsid w:val="0098601A"/>
    <w:rsid w:val="00990AAE"/>
    <w:rsid w:val="009959F0"/>
    <w:rsid w:val="009A0927"/>
    <w:rsid w:val="009A4A12"/>
    <w:rsid w:val="009B26E7"/>
    <w:rsid w:val="009B6120"/>
    <w:rsid w:val="009C2F76"/>
    <w:rsid w:val="009C3117"/>
    <w:rsid w:val="009C38A0"/>
    <w:rsid w:val="009C62BD"/>
    <w:rsid w:val="009D52DF"/>
    <w:rsid w:val="009D5DA1"/>
    <w:rsid w:val="009F5312"/>
    <w:rsid w:val="00A02AEC"/>
    <w:rsid w:val="00A0594A"/>
    <w:rsid w:val="00A12C47"/>
    <w:rsid w:val="00A23E04"/>
    <w:rsid w:val="00A37BF3"/>
    <w:rsid w:val="00A46C15"/>
    <w:rsid w:val="00A50AB6"/>
    <w:rsid w:val="00A50DC0"/>
    <w:rsid w:val="00A606F5"/>
    <w:rsid w:val="00A62384"/>
    <w:rsid w:val="00A63695"/>
    <w:rsid w:val="00A72F06"/>
    <w:rsid w:val="00A730F2"/>
    <w:rsid w:val="00A7561C"/>
    <w:rsid w:val="00A75A1E"/>
    <w:rsid w:val="00A77FFD"/>
    <w:rsid w:val="00A84187"/>
    <w:rsid w:val="00AA6161"/>
    <w:rsid w:val="00AB062E"/>
    <w:rsid w:val="00AB4554"/>
    <w:rsid w:val="00AB7CC6"/>
    <w:rsid w:val="00AC2472"/>
    <w:rsid w:val="00AC47B6"/>
    <w:rsid w:val="00AD07AF"/>
    <w:rsid w:val="00AD7DF9"/>
    <w:rsid w:val="00AD7E05"/>
    <w:rsid w:val="00AE0AE3"/>
    <w:rsid w:val="00AE29BB"/>
    <w:rsid w:val="00AE2CAF"/>
    <w:rsid w:val="00AE6B83"/>
    <w:rsid w:val="00AF244D"/>
    <w:rsid w:val="00AF33D9"/>
    <w:rsid w:val="00AF48CA"/>
    <w:rsid w:val="00B002E4"/>
    <w:rsid w:val="00B133EC"/>
    <w:rsid w:val="00B214FE"/>
    <w:rsid w:val="00B25F26"/>
    <w:rsid w:val="00B332B2"/>
    <w:rsid w:val="00B34CCC"/>
    <w:rsid w:val="00B36EC7"/>
    <w:rsid w:val="00B36EDD"/>
    <w:rsid w:val="00B40B77"/>
    <w:rsid w:val="00B46475"/>
    <w:rsid w:val="00B54DC5"/>
    <w:rsid w:val="00B61C97"/>
    <w:rsid w:val="00B628C5"/>
    <w:rsid w:val="00B71933"/>
    <w:rsid w:val="00B76316"/>
    <w:rsid w:val="00B8078D"/>
    <w:rsid w:val="00B856C1"/>
    <w:rsid w:val="00B94D64"/>
    <w:rsid w:val="00BA537B"/>
    <w:rsid w:val="00BB5DB1"/>
    <w:rsid w:val="00BC3A9A"/>
    <w:rsid w:val="00BD12A3"/>
    <w:rsid w:val="00BD5BD9"/>
    <w:rsid w:val="00BD6448"/>
    <w:rsid w:val="00BD6D34"/>
    <w:rsid w:val="00BD7F6E"/>
    <w:rsid w:val="00BE035D"/>
    <w:rsid w:val="00BF069C"/>
    <w:rsid w:val="00BF47B0"/>
    <w:rsid w:val="00BF5327"/>
    <w:rsid w:val="00BF5A86"/>
    <w:rsid w:val="00BF7814"/>
    <w:rsid w:val="00C05A4E"/>
    <w:rsid w:val="00C12694"/>
    <w:rsid w:val="00C14526"/>
    <w:rsid w:val="00C1717E"/>
    <w:rsid w:val="00C21D33"/>
    <w:rsid w:val="00C335E7"/>
    <w:rsid w:val="00C3382F"/>
    <w:rsid w:val="00C36C4B"/>
    <w:rsid w:val="00C4377C"/>
    <w:rsid w:val="00C43F02"/>
    <w:rsid w:val="00C46366"/>
    <w:rsid w:val="00C47F0F"/>
    <w:rsid w:val="00C507DC"/>
    <w:rsid w:val="00C51D84"/>
    <w:rsid w:val="00C52506"/>
    <w:rsid w:val="00C6600F"/>
    <w:rsid w:val="00C82259"/>
    <w:rsid w:val="00C9251C"/>
    <w:rsid w:val="00C9297C"/>
    <w:rsid w:val="00C94014"/>
    <w:rsid w:val="00C94AA0"/>
    <w:rsid w:val="00CA3510"/>
    <w:rsid w:val="00CA6FA4"/>
    <w:rsid w:val="00CB0A99"/>
    <w:rsid w:val="00CB5A09"/>
    <w:rsid w:val="00CB69B4"/>
    <w:rsid w:val="00CC2212"/>
    <w:rsid w:val="00CC306D"/>
    <w:rsid w:val="00CC39AA"/>
    <w:rsid w:val="00CC5611"/>
    <w:rsid w:val="00CD0CD4"/>
    <w:rsid w:val="00CD1B5F"/>
    <w:rsid w:val="00CD72B2"/>
    <w:rsid w:val="00CE377E"/>
    <w:rsid w:val="00CE3B9F"/>
    <w:rsid w:val="00CF1FB8"/>
    <w:rsid w:val="00CF2C65"/>
    <w:rsid w:val="00D003B8"/>
    <w:rsid w:val="00D078B6"/>
    <w:rsid w:val="00D1022C"/>
    <w:rsid w:val="00D16AC9"/>
    <w:rsid w:val="00D26368"/>
    <w:rsid w:val="00D27115"/>
    <w:rsid w:val="00D301F7"/>
    <w:rsid w:val="00D34DCC"/>
    <w:rsid w:val="00D504A6"/>
    <w:rsid w:val="00D56E7F"/>
    <w:rsid w:val="00D61D9B"/>
    <w:rsid w:val="00D73493"/>
    <w:rsid w:val="00D769B5"/>
    <w:rsid w:val="00D805C2"/>
    <w:rsid w:val="00D845EB"/>
    <w:rsid w:val="00DA18E9"/>
    <w:rsid w:val="00DA2F09"/>
    <w:rsid w:val="00DA6D2B"/>
    <w:rsid w:val="00DA72AE"/>
    <w:rsid w:val="00DA7DE2"/>
    <w:rsid w:val="00DB05BC"/>
    <w:rsid w:val="00DB44E8"/>
    <w:rsid w:val="00DC1E60"/>
    <w:rsid w:val="00DC266D"/>
    <w:rsid w:val="00DC736E"/>
    <w:rsid w:val="00DD389C"/>
    <w:rsid w:val="00DD60CC"/>
    <w:rsid w:val="00DF0142"/>
    <w:rsid w:val="00DF4D12"/>
    <w:rsid w:val="00E002ED"/>
    <w:rsid w:val="00E10AE2"/>
    <w:rsid w:val="00E10F0A"/>
    <w:rsid w:val="00E11119"/>
    <w:rsid w:val="00E21851"/>
    <w:rsid w:val="00E21875"/>
    <w:rsid w:val="00E25407"/>
    <w:rsid w:val="00E32599"/>
    <w:rsid w:val="00E33B0E"/>
    <w:rsid w:val="00E42621"/>
    <w:rsid w:val="00E446A6"/>
    <w:rsid w:val="00E51DBC"/>
    <w:rsid w:val="00E53CB5"/>
    <w:rsid w:val="00E53CCD"/>
    <w:rsid w:val="00E62607"/>
    <w:rsid w:val="00E64197"/>
    <w:rsid w:val="00E71855"/>
    <w:rsid w:val="00E719A9"/>
    <w:rsid w:val="00E86000"/>
    <w:rsid w:val="00EA1DE4"/>
    <w:rsid w:val="00EA60EA"/>
    <w:rsid w:val="00EB29BF"/>
    <w:rsid w:val="00EC124E"/>
    <w:rsid w:val="00EC7C7F"/>
    <w:rsid w:val="00EE1847"/>
    <w:rsid w:val="00EE1A48"/>
    <w:rsid w:val="00EF007E"/>
    <w:rsid w:val="00EF05A4"/>
    <w:rsid w:val="00EF4B42"/>
    <w:rsid w:val="00F003D3"/>
    <w:rsid w:val="00F008AB"/>
    <w:rsid w:val="00F03E32"/>
    <w:rsid w:val="00F30CCA"/>
    <w:rsid w:val="00F365BC"/>
    <w:rsid w:val="00F42289"/>
    <w:rsid w:val="00F42E75"/>
    <w:rsid w:val="00F43796"/>
    <w:rsid w:val="00F45D65"/>
    <w:rsid w:val="00F47E84"/>
    <w:rsid w:val="00F51214"/>
    <w:rsid w:val="00F517FA"/>
    <w:rsid w:val="00F52D16"/>
    <w:rsid w:val="00F55565"/>
    <w:rsid w:val="00F60ABA"/>
    <w:rsid w:val="00F62D67"/>
    <w:rsid w:val="00F63AF4"/>
    <w:rsid w:val="00F63BD9"/>
    <w:rsid w:val="00F64879"/>
    <w:rsid w:val="00F65588"/>
    <w:rsid w:val="00F662E5"/>
    <w:rsid w:val="00F6694C"/>
    <w:rsid w:val="00F80B7F"/>
    <w:rsid w:val="00F81309"/>
    <w:rsid w:val="00F8145F"/>
    <w:rsid w:val="00F91772"/>
    <w:rsid w:val="00F9283D"/>
    <w:rsid w:val="00F93355"/>
    <w:rsid w:val="00F93C70"/>
    <w:rsid w:val="00F96F18"/>
    <w:rsid w:val="00FA101D"/>
    <w:rsid w:val="00FA508E"/>
    <w:rsid w:val="00FA5320"/>
    <w:rsid w:val="00FA7846"/>
    <w:rsid w:val="00FB4828"/>
    <w:rsid w:val="00FC2074"/>
    <w:rsid w:val="00FC26E5"/>
    <w:rsid w:val="00FC34B0"/>
    <w:rsid w:val="00FD155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A4B3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link w:val="af5"/>
    <w:uiPriority w:val="99"/>
    <w:rsid w:val="004503B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4503B0"/>
    <w:rPr>
      <w:rFonts w:ascii="Times New Roman" w:hAnsi="Times New Roman" w:cs="Times New Roman"/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2F338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F338C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2F338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338C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2F338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E3CBBE-6D8F-404A-AC28-20F0827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Соколова Наталія Марківна</cp:lastModifiedBy>
  <cp:revision>5</cp:revision>
  <cp:lastPrinted>2022-08-24T10:22:00Z</cp:lastPrinted>
  <dcterms:created xsi:type="dcterms:W3CDTF">2022-08-24T10:22:00Z</dcterms:created>
  <dcterms:modified xsi:type="dcterms:W3CDTF">2022-08-24T12:38:00Z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