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F6B9" w14:textId="77777777" w:rsidR="00FA7846" w:rsidRPr="00CD0CD4" w:rsidRDefault="00FA7846" w:rsidP="00FA7846">
      <w:pPr>
        <w:rPr>
          <w:sz w:val="2"/>
          <w:szCs w:val="2"/>
        </w:rPr>
      </w:pPr>
    </w:p>
    <w:p w14:paraId="01AE50EB" w14:textId="77777777" w:rsidR="00657593" w:rsidRPr="00566BA2" w:rsidRDefault="00657593" w:rsidP="00657593">
      <w:pPr>
        <w:rPr>
          <w:sz w:val="2"/>
          <w:szCs w:val="2"/>
          <w:lang w:val="en-US"/>
        </w:rPr>
      </w:pPr>
    </w:p>
    <w:tbl>
      <w:tblPr>
        <w:tblStyle w:val="a9"/>
        <w:tblW w:w="99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2054"/>
        <w:gridCol w:w="4679"/>
      </w:tblGrid>
      <w:tr w:rsidR="00657593" w14:paraId="319EB3FB" w14:textId="77777777" w:rsidTr="000D3E1E">
        <w:trPr>
          <w:trHeight w:val="851"/>
        </w:trPr>
        <w:tc>
          <w:tcPr>
            <w:tcW w:w="3191" w:type="dxa"/>
          </w:tcPr>
          <w:p w14:paraId="17630171" w14:textId="21A764F3" w:rsidR="00657593" w:rsidRDefault="000D3E1E" w:rsidP="00E054A9">
            <w:r>
              <w:t xml:space="preserve">  </w:t>
            </w:r>
          </w:p>
        </w:tc>
        <w:tc>
          <w:tcPr>
            <w:tcW w:w="2054" w:type="dxa"/>
            <w:vMerge w:val="restart"/>
          </w:tcPr>
          <w:p w14:paraId="4C3B1D20" w14:textId="77777777" w:rsidR="00657593" w:rsidRDefault="00657593" w:rsidP="000D3E1E">
            <w:pPr>
              <w:ind w:right="-109"/>
              <w:jc w:val="right"/>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34.8pt;height:48pt" o:ole="">
                  <v:imagedata r:id="rId12" o:title=""/>
                </v:shape>
                <o:OLEObject Type="Embed" ProgID="CorelDraw.Graphic.16" ShapeID="_x0000_i1282" DrawAspect="Content" ObjectID="_1702138982" r:id="rId13"/>
              </w:object>
            </w:r>
          </w:p>
        </w:tc>
        <w:tc>
          <w:tcPr>
            <w:tcW w:w="4679" w:type="dxa"/>
          </w:tcPr>
          <w:p w14:paraId="12D933A3" w14:textId="01AB03C4" w:rsidR="00657593" w:rsidRPr="000D3E1E" w:rsidRDefault="000D3E1E" w:rsidP="000D3E1E">
            <w:pPr>
              <w:jc w:val="right"/>
              <w:rPr>
                <w:sz w:val="24"/>
              </w:rPr>
            </w:pPr>
            <w:r>
              <w:rPr>
                <w:sz w:val="24"/>
              </w:rPr>
              <w:t>Офіційно опубліковано 30.12.2021</w:t>
            </w:r>
          </w:p>
        </w:tc>
      </w:tr>
      <w:tr w:rsidR="00657593" w14:paraId="1DFD65B8" w14:textId="77777777" w:rsidTr="000D3E1E">
        <w:tc>
          <w:tcPr>
            <w:tcW w:w="3191" w:type="dxa"/>
          </w:tcPr>
          <w:p w14:paraId="306B6DC4" w14:textId="77777777" w:rsidR="00657593" w:rsidRDefault="00657593" w:rsidP="00E054A9"/>
        </w:tc>
        <w:tc>
          <w:tcPr>
            <w:tcW w:w="2054" w:type="dxa"/>
            <w:vMerge/>
          </w:tcPr>
          <w:p w14:paraId="245EB9EB" w14:textId="77777777" w:rsidR="00657593" w:rsidRDefault="00657593" w:rsidP="00E054A9"/>
        </w:tc>
        <w:tc>
          <w:tcPr>
            <w:tcW w:w="4679" w:type="dxa"/>
          </w:tcPr>
          <w:p w14:paraId="610F2B4F" w14:textId="77777777" w:rsidR="00657593" w:rsidRDefault="00657593" w:rsidP="00E054A9"/>
        </w:tc>
      </w:tr>
      <w:tr w:rsidR="00657593" w14:paraId="293E5551" w14:textId="77777777" w:rsidTr="000D3E1E">
        <w:tc>
          <w:tcPr>
            <w:tcW w:w="9924" w:type="dxa"/>
            <w:gridSpan w:val="3"/>
          </w:tcPr>
          <w:p w14:paraId="1D340C87"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0D151DC" w14:textId="77777777" w:rsidR="00657593" w:rsidRDefault="00657593" w:rsidP="00E054A9">
            <w:pPr>
              <w:jc w:val="center"/>
            </w:pPr>
            <w:r w:rsidRPr="00E10F0A">
              <w:rPr>
                <w:b/>
                <w:bCs/>
                <w:color w:val="006600"/>
                <w:sz w:val="32"/>
                <w:szCs w:val="32"/>
              </w:rPr>
              <w:t>П О С Т А Н О В А</w:t>
            </w:r>
          </w:p>
        </w:tc>
      </w:tr>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2631"/>
        <w:gridCol w:w="1682"/>
        <w:gridCol w:w="1895"/>
      </w:tblGrid>
      <w:tr w:rsidR="00657593" w14:paraId="6AE0F1AB" w14:textId="77777777" w:rsidTr="0076356A">
        <w:tc>
          <w:tcPr>
            <w:tcW w:w="3510" w:type="dxa"/>
            <w:vAlign w:val="bottom"/>
          </w:tcPr>
          <w:p w14:paraId="77514C11" w14:textId="4132CD1D" w:rsidR="00657593" w:rsidRPr="00566BA2" w:rsidRDefault="00B3100C" w:rsidP="00E054A9">
            <w:r>
              <w:t>24 грудня 2021 року</w:t>
            </w:r>
          </w:p>
        </w:tc>
        <w:tc>
          <w:tcPr>
            <w:tcW w:w="2694" w:type="dxa"/>
          </w:tcPr>
          <w:p w14:paraId="04E01A72" w14:textId="151AF9DD" w:rsidR="00657593" w:rsidRDefault="00657593" w:rsidP="00E62607">
            <w:pPr>
              <w:spacing w:before="240"/>
              <w:jc w:val="center"/>
            </w:pPr>
            <w:r w:rsidRPr="00E10F0A">
              <w:rPr>
                <w:color w:val="006600"/>
              </w:rPr>
              <w:t>Київ</w:t>
            </w:r>
          </w:p>
        </w:tc>
        <w:tc>
          <w:tcPr>
            <w:tcW w:w="1713" w:type="dxa"/>
            <w:vAlign w:val="bottom"/>
          </w:tcPr>
          <w:p w14:paraId="24633B0B" w14:textId="0646BDCD" w:rsidR="00657593" w:rsidRPr="008274C0" w:rsidRDefault="00B3100C" w:rsidP="00B3100C">
            <w:pPr>
              <w:jc w:val="right"/>
              <w:rPr>
                <w:lang w:val="en-US"/>
              </w:rPr>
            </w:pPr>
            <w:r>
              <w:rPr>
                <w:color w:val="FFFFFF" w:themeColor="background1"/>
              </w:rPr>
              <w:t>№№</w:t>
            </w:r>
          </w:p>
        </w:tc>
        <w:tc>
          <w:tcPr>
            <w:tcW w:w="1937" w:type="dxa"/>
            <w:vAlign w:val="bottom"/>
          </w:tcPr>
          <w:p w14:paraId="0DDCCE3F" w14:textId="47013F41" w:rsidR="00657593" w:rsidRDefault="00B3100C" w:rsidP="00290169">
            <w:pPr>
              <w:jc w:val="left"/>
            </w:pPr>
            <w:r>
              <w:t>№ 151</w:t>
            </w:r>
          </w:p>
        </w:tc>
      </w:tr>
    </w:tbl>
    <w:p w14:paraId="52A42275" w14:textId="77777777" w:rsidR="00657593" w:rsidRPr="00CD0CD4" w:rsidRDefault="00657593" w:rsidP="00657593">
      <w:pPr>
        <w:rPr>
          <w:sz w:val="2"/>
          <w:szCs w:val="2"/>
        </w:rPr>
      </w:pPr>
    </w:p>
    <w:p w14:paraId="32B2F6BA" w14:textId="77777777" w:rsidR="00E42621" w:rsidRPr="00CD0CD4" w:rsidRDefault="00E42621" w:rsidP="00562C46">
      <w:pPr>
        <w:ind w:firstLine="709"/>
        <w:jc w:val="center"/>
        <w:rPr>
          <w:rFonts w:eastAsiaTheme="minorEastAsia"/>
          <w:color w:val="000000" w:themeColor="text1"/>
          <w:lang w:eastAsia="en-US"/>
        </w:rPr>
      </w:pPr>
    </w:p>
    <w:tbl>
      <w:tblPr>
        <w:tblStyle w:val="a9"/>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tblGrid>
      <w:tr w:rsidR="002B3F71" w:rsidRPr="00CD0CD4" w14:paraId="32B2F6BC" w14:textId="77777777" w:rsidTr="004F45CD">
        <w:trPr>
          <w:jc w:val="center"/>
        </w:trPr>
        <w:tc>
          <w:tcPr>
            <w:tcW w:w="5000" w:type="pct"/>
          </w:tcPr>
          <w:p w14:paraId="32B2F6BB" w14:textId="7731D943" w:rsidR="002B3F71" w:rsidRPr="00CD0CD4" w:rsidRDefault="000138DC" w:rsidP="004F45CD">
            <w:pPr>
              <w:tabs>
                <w:tab w:val="left" w:pos="840"/>
                <w:tab w:val="center" w:pos="3293"/>
              </w:tabs>
              <w:spacing w:before="240" w:after="240"/>
              <w:jc w:val="center"/>
              <w:rPr>
                <w:rFonts w:eastAsiaTheme="minorEastAsia"/>
                <w:color w:val="000000" w:themeColor="text1"/>
                <w:lang w:eastAsia="en-US"/>
              </w:rPr>
            </w:pPr>
            <w:r w:rsidRPr="000138DC">
              <w:rPr>
                <w:szCs w:val="20"/>
                <w:lang w:eastAsia="ru-RU"/>
              </w:rPr>
              <w:t>Про затвердження Змін до Положення про порядок взаємодії юридичних осіб, що здійснюють операції з оброблення та зберігання готівки, з іншими юридичними особами</w:t>
            </w:r>
          </w:p>
        </w:tc>
      </w:tr>
    </w:tbl>
    <w:p w14:paraId="32B2F6BD" w14:textId="2AD67580" w:rsidR="00E53CCD" w:rsidRDefault="000138DC" w:rsidP="009E59C2">
      <w:pPr>
        <w:spacing w:before="240" w:after="240"/>
        <w:ind w:firstLine="567"/>
        <w:rPr>
          <w:b/>
        </w:rPr>
      </w:pPr>
      <w:r>
        <w:rPr>
          <w:lang w:eastAsia="ja-JP"/>
        </w:rPr>
        <w:t>Відповідно до статей 7, 15, 33 та 56 Закону України “Про Національний банк України”, з метою уточнення операцій</w:t>
      </w:r>
      <w:r w:rsidR="00613AFF">
        <w:rPr>
          <w:lang w:eastAsia="ja-JP"/>
        </w:rPr>
        <w:t>, що здійснюються в</w:t>
      </w:r>
      <w:r>
        <w:rPr>
          <w:lang w:eastAsia="ja-JP"/>
        </w:rPr>
        <w:t xml:space="preserve"> порядку взаємодії юридичних осіб, які отримали ліцензію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із суб’єктами господарювання, банками та Національним банком України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14:paraId="7D35A737" w14:textId="13960107" w:rsidR="00AD7DF9" w:rsidRDefault="00AD7DF9" w:rsidP="009E59C2">
      <w:pPr>
        <w:spacing w:before="240" w:after="240"/>
        <w:ind w:firstLine="567"/>
        <w:rPr>
          <w:rFonts w:eastAsiaTheme="minorEastAsia"/>
          <w:noProof/>
          <w:color w:val="000000" w:themeColor="text1"/>
          <w:lang w:eastAsia="en-US"/>
        </w:rPr>
      </w:pPr>
      <w:r w:rsidRPr="008B1589">
        <w:rPr>
          <w:lang w:val="ru-RU"/>
        </w:rPr>
        <w:t>1.</w:t>
      </w:r>
      <w:r>
        <w:rPr>
          <w:lang w:val="en-US"/>
        </w:rPr>
        <w:t> </w:t>
      </w:r>
      <w:r w:rsidR="000138DC">
        <w:rPr>
          <w:lang w:eastAsia="ru-RU"/>
        </w:rPr>
        <w:t xml:space="preserve">Затвердити Зміни до Положення про порядок </w:t>
      </w:r>
      <w:r w:rsidR="000138DC">
        <w:t>взаємодії юридичних осіб, що здійснюють операції з оброблення та зберігання готівки</w:t>
      </w:r>
      <w:r w:rsidR="000138DC">
        <w:rPr>
          <w:sz w:val="23"/>
        </w:rPr>
        <w:t xml:space="preserve">, </w:t>
      </w:r>
      <w:r w:rsidR="000138DC">
        <w:t>з іншими юридичними особами, затвердженого постановою Правління Національного банку України від 17 березня 2020 року № 28, що додаються</w:t>
      </w:r>
      <w:r w:rsidR="005212A1" w:rsidRPr="000138DC">
        <w:rPr>
          <w:rFonts w:eastAsiaTheme="minorEastAsia"/>
          <w:noProof/>
          <w:color w:val="000000" w:themeColor="text1"/>
          <w:lang w:eastAsia="en-US"/>
        </w:rPr>
        <w:t>.</w:t>
      </w:r>
    </w:p>
    <w:p w14:paraId="35060D55" w14:textId="3A39305E" w:rsidR="00AD7DF9" w:rsidRDefault="00AD7DF9" w:rsidP="009E59C2">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2. </w:t>
      </w:r>
      <w:r w:rsidR="000138DC">
        <w:rPr>
          <w:lang w:eastAsia="ru-RU"/>
        </w:rPr>
        <w:t xml:space="preserve">Департаменту грошового обігу (Віктор </w:t>
      </w:r>
      <w:proofErr w:type="spellStart"/>
      <w:r w:rsidR="000138DC">
        <w:rPr>
          <w:lang w:eastAsia="ru-RU"/>
        </w:rPr>
        <w:t>Зайвенко</w:t>
      </w:r>
      <w:proofErr w:type="spellEnd"/>
      <w:r w:rsidR="000138DC">
        <w:rPr>
          <w:lang w:eastAsia="ru-RU"/>
        </w:rPr>
        <w:t xml:space="preserve">) </w:t>
      </w:r>
      <w:r w:rsidR="000138DC" w:rsidRPr="00460CAE">
        <w:rPr>
          <w:lang w:eastAsia="ru-RU"/>
        </w:rPr>
        <w:t>після офіційного</w:t>
      </w:r>
      <w:r w:rsidR="000138DC">
        <w:rPr>
          <w:lang w:eastAsia="ru-RU"/>
        </w:rPr>
        <w:t xml:space="preserve"> </w:t>
      </w:r>
      <w:r w:rsidR="000138DC" w:rsidRPr="00460CAE">
        <w:rPr>
          <w:lang w:eastAsia="ru-RU"/>
        </w:rPr>
        <w:t xml:space="preserve">опублікування </w:t>
      </w:r>
      <w:r w:rsidR="000138DC">
        <w:rPr>
          <w:lang w:eastAsia="ru-RU"/>
        </w:rPr>
        <w:t>довести до відома</w:t>
      </w:r>
      <w:r w:rsidR="000138DC" w:rsidRPr="00BE0B48">
        <w:rPr>
          <w:lang w:eastAsia="ru-RU"/>
        </w:rPr>
        <w:t xml:space="preserve"> </w:t>
      </w:r>
      <w:r w:rsidR="000138DC">
        <w:rPr>
          <w:lang w:eastAsia="ru-RU"/>
        </w:rPr>
        <w:t xml:space="preserve">банків та юридичних осіб, які отримали ліцензію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w:t>
      </w:r>
      <w:r w:rsidR="000138DC" w:rsidRPr="00484095">
        <w:rPr>
          <w:lang w:eastAsia="ru-RU"/>
        </w:rPr>
        <w:t>інформацію про прийняття цієї</w:t>
      </w:r>
      <w:r w:rsidR="000138DC">
        <w:rPr>
          <w:lang w:eastAsia="ru-RU"/>
        </w:rPr>
        <w:t xml:space="preserve"> </w:t>
      </w:r>
      <w:r w:rsidR="000138DC" w:rsidRPr="00484095">
        <w:rPr>
          <w:lang w:eastAsia="ru-RU"/>
        </w:rPr>
        <w:t>постанови</w:t>
      </w:r>
      <w:r w:rsidR="005212A1" w:rsidRPr="000138DC">
        <w:rPr>
          <w:rFonts w:eastAsiaTheme="minorEastAsia"/>
          <w:noProof/>
          <w:color w:val="000000" w:themeColor="text1"/>
          <w:lang w:eastAsia="en-US"/>
        </w:rPr>
        <w:t>.</w:t>
      </w:r>
    </w:p>
    <w:p w14:paraId="2FAB7435" w14:textId="0D57F602" w:rsidR="00AD7DF9" w:rsidRDefault="00AD7DF9" w:rsidP="009E59C2">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3. </w:t>
      </w:r>
      <w:r w:rsidR="000138DC">
        <w:rPr>
          <w:lang w:eastAsia="ru-RU"/>
        </w:rPr>
        <w:t xml:space="preserve">Контроль за виконанням цієї постанови покласти на заступника Голови Національного банку України Олексія </w:t>
      </w:r>
      <w:proofErr w:type="spellStart"/>
      <w:r w:rsidR="000138DC">
        <w:rPr>
          <w:lang w:eastAsia="ru-RU"/>
        </w:rPr>
        <w:t>Шабана</w:t>
      </w:r>
      <w:proofErr w:type="spellEnd"/>
      <w:r w:rsidR="005212A1" w:rsidRPr="005212A1">
        <w:rPr>
          <w:rFonts w:eastAsiaTheme="minorEastAsia"/>
          <w:noProof/>
          <w:color w:val="000000" w:themeColor="text1"/>
          <w:lang w:val="ru-RU" w:eastAsia="en-US"/>
        </w:rPr>
        <w:t>.</w:t>
      </w:r>
    </w:p>
    <w:p w14:paraId="77405064" w14:textId="5D25D078" w:rsidR="00AD7DF9" w:rsidRDefault="00AD7DF9" w:rsidP="009E59C2">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4. </w:t>
      </w:r>
      <w:r w:rsidR="000138DC">
        <w:rPr>
          <w:lang w:eastAsia="ru-RU"/>
        </w:rPr>
        <w:t xml:space="preserve">Постанова набирає чинності з </w:t>
      </w:r>
      <w:r w:rsidR="005C2D66">
        <w:rPr>
          <w:lang w:eastAsia="ru-RU"/>
        </w:rPr>
        <w:t>01 березня 2022 року</w:t>
      </w:r>
      <w:r w:rsidR="005212A1" w:rsidRPr="005212A1">
        <w:rPr>
          <w:rFonts w:eastAsiaTheme="minorEastAsia"/>
          <w:noProof/>
          <w:color w:val="000000" w:themeColor="text1"/>
          <w:lang w:val="ru-RU" w:eastAsia="en-US"/>
        </w:rPr>
        <w:t>.</w:t>
      </w:r>
    </w:p>
    <w:p w14:paraId="32B2F6C5" w14:textId="77777777" w:rsidR="0095741D" w:rsidRPr="00CD0CD4" w:rsidRDefault="0095741D" w:rsidP="00E42621">
      <w:pPr>
        <w:tabs>
          <w:tab w:val="left" w:pos="993"/>
        </w:tabs>
        <w:spacing w:after="12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CD0CD4" w14:paraId="32B2F6C8" w14:textId="77777777" w:rsidTr="00BD6D34">
        <w:tc>
          <w:tcPr>
            <w:tcW w:w="5495" w:type="dxa"/>
            <w:vAlign w:val="bottom"/>
          </w:tcPr>
          <w:p w14:paraId="32B2F6C6" w14:textId="4ABF1C38" w:rsidR="00DD60CC" w:rsidRPr="00CD0CD4" w:rsidRDefault="000138DC" w:rsidP="003C10F1">
            <w:pPr>
              <w:autoSpaceDE w:val="0"/>
              <w:autoSpaceDN w:val="0"/>
              <w:jc w:val="left"/>
            </w:pPr>
            <w:r>
              <w:rPr>
                <w:lang w:eastAsia="ru-RU"/>
              </w:rPr>
              <w:t>Голова</w:t>
            </w:r>
          </w:p>
        </w:tc>
        <w:tc>
          <w:tcPr>
            <w:tcW w:w="4252" w:type="dxa"/>
            <w:vAlign w:val="bottom"/>
          </w:tcPr>
          <w:p w14:paraId="32B2F6C7" w14:textId="1DEBFBED" w:rsidR="00DD60CC" w:rsidRPr="00CD0CD4" w:rsidRDefault="000138DC" w:rsidP="00A34191">
            <w:pPr>
              <w:tabs>
                <w:tab w:val="left" w:pos="7020"/>
                <w:tab w:val="left" w:pos="7200"/>
              </w:tabs>
              <w:autoSpaceDE w:val="0"/>
              <w:autoSpaceDN w:val="0"/>
              <w:ind w:left="32"/>
              <w:jc w:val="right"/>
            </w:pPr>
            <w:r>
              <w:rPr>
                <w:lang w:eastAsia="ru-RU"/>
              </w:rPr>
              <w:t>Кирило ШЕВЧЕНКО</w:t>
            </w:r>
          </w:p>
        </w:tc>
      </w:tr>
    </w:tbl>
    <w:p w14:paraId="32B2F6CA" w14:textId="77777777" w:rsidR="00FA508E" w:rsidRPr="00CD0CD4" w:rsidRDefault="00FA508E" w:rsidP="00E53CCD"/>
    <w:p w14:paraId="32B2F6CB" w14:textId="2882B3DC" w:rsidR="00FA508E" w:rsidRDefault="00FA508E" w:rsidP="00FA508E">
      <w:pPr>
        <w:jc w:val="left"/>
        <w:rPr>
          <w:lang w:eastAsia="ru-RU"/>
        </w:rPr>
      </w:pPr>
      <w:r w:rsidRPr="00CD0CD4">
        <w:t>Інд.</w:t>
      </w:r>
      <w:r w:rsidRPr="00CD0CD4">
        <w:rPr>
          <w:sz w:val="22"/>
          <w:szCs w:val="22"/>
        </w:rPr>
        <w:t xml:space="preserve"> </w:t>
      </w:r>
      <w:r w:rsidR="000138DC">
        <w:rPr>
          <w:lang w:eastAsia="ru-RU"/>
        </w:rPr>
        <w:t>50</w:t>
      </w:r>
    </w:p>
    <w:p w14:paraId="393AB818" w14:textId="7A7B5FAB" w:rsidR="000138DC" w:rsidRDefault="000138DC" w:rsidP="00FA508E">
      <w:pPr>
        <w:jc w:val="left"/>
        <w:rPr>
          <w:lang w:eastAsia="ru-RU"/>
        </w:rPr>
      </w:pPr>
    </w:p>
    <w:p w14:paraId="6A121323" w14:textId="47B4DC28" w:rsidR="000138DC" w:rsidRDefault="000138DC" w:rsidP="00FA508E">
      <w:pPr>
        <w:jc w:val="left"/>
        <w:rPr>
          <w:lang w:eastAsia="ru-RU"/>
        </w:rPr>
      </w:pPr>
      <w:proofErr w:type="spellStart"/>
      <w:r w:rsidRPr="00715FE3">
        <w:rPr>
          <w:lang w:val="ru-RU"/>
        </w:rPr>
        <w:t>Аркуш</w:t>
      </w:r>
      <w:proofErr w:type="spellEnd"/>
      <w:r w:rsidRPr="00715FE3">
        <w:rPr>
          <w:lang w:val="ru-RU"/>
        </w:rPr>
        <w:t xml:space="preserve"> </w:t>
      </w:r>
      <w:proofErr w:type="spellStart"/>
      <w:r w:rsidRPr="00715FE3">
        <w:rPr>
          <w:lang w:val="ru-RU"/>
        </w:rPr>
        <w:t>погодження</w:t>
      </w:r>
      <w:proofErr w:type="spellEnd"/>
      <w:r w:rsidRPr="00715FE3">
        <w:rPr>
          <w:lang w:val="ru-RU"/>
        </w:rPr>
        <w:t xml:space="preserve"> </w:t>
      </w:r>
      <w:proofErr w:type="spellStart"/>
      <w:r w:rsidRPr="00715FE3">
        <w:rPr>
          <w:lang w:val="ru-RU"/>
        </w:rPr>
        <w:t>дода</w:t>
      </w:r>
      <w:proofErr w:type="spellEnd"/>
      <w:r>
        <w:t>є</w:t>
      </w:r>
      <w:proofErr w:type="spellStart"/>
      <w:r w:rsidRPr="00715FE3">
        <w:rPr>
          <w:lang w:val="ru-RU"/>
        </w:rPr>
        <w:t>ться</w:t>
      </w:r>
      <w:proofErr w:type="spellEnd"/>
      <w:r w:rsidR="006757A6">
        <w:rPr>
          <w:lang w:val="ru-RU"/>
        </w:rPr>
        <w:t>.</w:t>
      </w:r>
    </w:p>
    <w:p w14:paraId="3B9AA46C" w14:textId="77777777" w:rsidR="000138DC" w:rsidRDefault="000138DC" w:rsidP="00FA508E">
      <w:pPr>
        <w:jc w:val="left"/>
        <w:sectPr w:rsidR="000138DC" w:rsidSect="004F45CD">
          <w:headerReference w:type="default" r:id="rId14"/>
          <w:footerReference w:type="first" r:id="rId15"/>
          <w:pgSz w:w="11906" w:h="16838" w:code="9"/>
          <w:pgMar w:top="567" w:right="567" w:bottom="1701" w:left="1701" w:header="283" w:footer="709" w:gutter="0"/>
          <w:cols w:space="708"/>
          <w:titlePg/>
          <w:docGrid w:linePitch="381"/>
        </w:sectPr>
      </w:pPr>
    </w:p>
    <w:p w14:paraId="3EE92F08" w14:textId="26AD5D3B" w:rsidR="000138DC" w:rsidRDefault="000138DC" w:rsidP="00FA2F1D">
      <w:pPr>
        <w:ind w:left="5670"/>
      </w:pPr>
      <w:r>
        <w:lastRenderedPageBreak/>
        <w:t xml:space="preserve">ЗАТВЕРДЖЕНО </w:t>
      </w:r>
    </w:p>
    <w:p w14:paraId="12BE0D2B" w14:textId="77777777" w:rsidR="000138DC" w:rsidRDefault="000138DC" w:rsidP="00FA2F1D">
      <w:pPr>
        <w:autoSpaceDE w:val="0"/>
        <w:autoSpaceDN w:val="0"/>
        <w:adjustRightInd w:val="0"/>
        <w:ind w:left="5670"/>
      </w:pPr>
      <w:r>
        <w:t xml:space="preserve">Постанова Правління </w:t>
      </w:r>
    </w:p>
    <w:p w14:paraId="36EEE67E" w14:textId="2770C19B" w:rsidR="00FA2F1D" w:rsidRDefault="000138DC" w:rsidP="00FA2F1D">
      <w:pPr>
        <w:autoSpaceDE w:val="0"/>
        <w:autoSpaceDN w:val="0"/>
        <w:adjustRightInd w:val="0"/>
        <w:ind w:left="5670"/>
      </w:pPr>
      <w:r>
        <w:t>Національного банку України</w:t>
      </w:r>
    </w:p>
    <w:p w14:paraId="02CB151F" w14:textId="1AA2028E" w:rsidR="00AD2E8B" w:rsidRDefault="00A34191" w:rsidP="00A34191">
      <w:pPr>
        <w:autoSpaceDE w:val="0"/>
        <w:autoSpaceDN w:val="0"/>
        <w:adjustRightInd w:val="0"/>
        <w:jc w:val="left"/>
      </w:pPr>
      <w:r>
        <w:t xml:space="preserve">                                                                                 24 грудня 2021 року № 151</w:t>
      </w:r>
    </w:p>
    <w:p w14:paraId="5C77485B" w14:textId="77777777" w:rsidR="009E59C2" w:rsidRDefault="009E59C2" w:rsidP="000138DC">
      <w:pPr>
        <w:autoSpaceDE w:val="0"/>
        <w:autoSpaceDN w:val="0"/>
        <w:adjustRightInd w:val="0"/>
      </w:pPr>
    </w:p>
    <w:p w14:paraId="346C283E" w14:textId="77777777" w:rsidR="00AD2E8B" w:rsidRDefault="00AD2E8B" w:rsidP="000138DC">
      <w:pPr>
        <w:autoSpaceDE w:val="0"/>
        <w:autoSpaceDN w:val="0"/>
        <w:adjustRightInd w:val="0"/>
      </w:pPr>
    </w:p>
    <w:p w14:paraId="2930600C" w14:textId="77777777" w:rsidR="000138DC" w:rsidRDefault="000138DC" w:rsidP="000138DC">
      <w:pPr>
        <w:autoSpaceDE w:val="0"/>
        <w:autoSpaceDN w:val="0"/>
        <w:adjustRightInd w:val="0"/>
        <w:spacing w:line="300" w:lineRule="exact"/>
        <w:jc w:val="center"/>
      </w:pPr>
      <w:r>
        <w:rPr>
          <w:lang w:eastAsia="ru-RU"/>
        </w:rPr>
        <w:t xml:space="preserve">Зміни до Положення про порядок </w:t>
      </w:r>
      <w:r>
        <w:t>взаємодії юридичних осіб,</w:t>
      </w:r>
    </w:p>
    <w:p w14:paraId="3FE16F1F" w14:textId="760A13E9" w:rsidR="000138DC" w:rsidRDefault="000138DC" w:rsidP="000138DC">
      <w:pPr>
        <w:autoSpaceDE w:val="0"/>
        <w:autoSpaceDN w:val="0"/>
        <w:adjustRightInd w:val="0"/>
        <w:spacing w:line="300" w:lineRule="exact"/>
        <w:jc w:val="center"/>
        <w:rPr>
          <w:sz w:val="23"/>
        </w:rPr>
      </w:pPr>
      <w:r>
        <w:t>що здійснюют</w:t>
      </w:r>
      <w:bookmarkStart w:id="0" w:name="_GoBack"/>
      <w:bookmarkEnd w:id="0"/>
      <w:r>
        <w:t>ь операції з оброблення та зберігання готівки</w:t>
      </w:r>
      <w:r>
        <w:rPr>
          <w:sz w:val="23"/>
        </w:rPr>
        <w:t>,</w:t>
      </w:r>
      <w:r w:rsidR="00FA2F1D">
        <w:rPr>
          <w:sz w:val="23"/>
        </w:rPr>
        <w:t xml:space="preserve"> </w:t>
      </w:r>
    </w:p>
    <w:p w14:paraId="4670D788" w14:textId="4BA0E5AB" w:rsidR="000138DC" w:rsidRDefault="000138DC" w:rsidP="000138DC">
      <w:pPr>
        <w:autoSpaceDE w:val="0"/>
        <w:autoSpaceDN w:val="0"/>
        <w:adjustRightInd w:val="0"/>
        <w:spacing w:line="300" w:lineRule="exact"/>
        <w:jc w:val="center"/>
      </w:pPr>
      <w:r>
        <w:t>з іншими юридичними особами</w:t>
      </w:r>
    </w:p>
    <w:p w14:paraId="62CC6283" w14:textId="77777777" w:rsidR="00AD2E8B" w:rsidRPr="00FA2F1D" w:rsidRDefault="00AD2E8B" w:rsidP="009E59C2">
      <w:pPr>
        <w:ind w:firstLine="567"/>
      </w:pPr>
    </w:p>
    <w:p w14:paraId="6DDC426C" w14:textId="77777777" w:rsidR="000138DC" w:rsidRPr="00FA2F1D" w:rsidRDefault="000138DC" w:rsidP="009E59C2">
      <w:pPr>
        <w:ind w:firstLine="567"/>
      </w:pPr>
      <w:r w:rsidRPr="00FA2F1D">
        <w:t>1. У розділі І:</w:t>
      </w:r>
    </w:p>
    <w:p w14:paraId="35ED27F0" w14:textId="77777777" w:rsidR="000138DC" w:rsidRPr="00FA2F1D" w:rsidRDefault="000138DC" w:rsidP="009E59C2">
      <w:pPr>
        <w:ind w:firstLine="567"/>
      </w:pPr>
    </w:p>
    <w:p w14:paraId="3FCEB0A0" w14:textId="13E96EC6" w:rsidR="000138DC" w:rsidRPr="00FA2F1D" w:rsidRDefault="001F28C4" w:rsidP="009E59C2">
      <w:pPr>
        <w:ind w:firstLine="567"/>
      </w:pPr>
      <w:r>
        <w:t>1</w:t>
      </w:r>
      <w:r w:rsidR="000138DC" w:rsidRPr="00FA2F1D">
        <w:t>) у пункті 5:</w:t>
      </w:r>
    </w:p>
    <w:p w14:paraId="775AAFF5" w14:textId="2924F7A2" w:rsidR="000138DC" w:rsidRDefault="000138DC" w:rsidP="009E59C2">
      <w:pPr>
        <w:ind w:firstLine="567"/>
      </w:pPr>
      <w:r w:rsidRPr="00FA2F1D">
        <w:t xml:space="preserve">підпункт 1 </w:t>
      </w:r>
      <w:r w:rsidR="00272730">
        <w:t>викласти в такій редакції:</w:t>
      </w:r>
    </w:p>
    <w:p w14:paraId="0A3CBD20" w14:textId="2C647E95" w:rsidR="00272730" w:rsidRPr="00623AF6" w:rsidRDefault="00272730" w:rsidP="009E59C2">
      <w:pPr>
        <w:ind w:firstLine="567"/>
      </w:pPr>
      <w:r>
        <w:t>“</w:t>
      </w:r>
      <w:r w:rsidRPr="00272730">
        <w:t>1)</w:t>
      </w:r>
      <w:r>
        <w:t> </w:t>
      </w:r>
      <w:r w:rsidRPr="00272730">
        <w:t>приймання інкасованої готівкової виручки від суб’єктів господарювання (за дорученням банків) та готівки з операційних кас банків (філій, відділень) до каси інкасаторської компанії для оброблення та зарахування розрахунковим банком суми інкасованої інкасаторською компанією готівкової виручки на поточні рахунки суб’єктів господарювання та кореспондентські рахунки банків;</w:t>
      </w:r>
      <w:r w:rsidR="00623AF6" w:rsidRPr="00A93BC4">
        <w:t>”</w:t>
      </w:r>
      <w:r w:rsidR="00623AF6">
        <w:t>;</w:t>
      </w:r>
    </w:p>
    <w:p w14:paraId="6D1D2EEE" w14:textId="52C41D04" w:rsidR="000138DC" w:rsidRPr="00C146D0" w:rsidRDefault="000138DC" w:rsidP="009E59C2">
      <w:pPr>
        <w:ind w:firstLine="567"/>
      </w:pPr>
      <w:r w:rsidRPr="00FA2F1D">
        <w:t xml:space="preserve">у підпункті 4 слова “завантаження </w:t>
      </w:r>
      <w:proofErr w:type="spellStart"/>
      <w:r w:rsidRPr="00FA2F1D">
        <w:t>банкоматів</w:t>
      </w:r>
      <w:proofErr w:type="spellEnd"/>
      <w:r w:rsidRPr="00FA2F1D">
        <w:t>” замінити словами “операцій</w:t>
      </w:r>
      <w:r w:rsidR="00150753">
        <w:t xml:space="preserve"> із</w:t>
      </w:r>
      <w:r w:rsidRPr="00FA2F1D">
        <w:t xml:space="preserve"> завантаження/розвантаження готівкою платіжних пристроїв</w:t>
      </w:r>
      <w:r w:rsidR="00C146D0" w:rsidRPr="00A93BC4">
        <w:rPr>
          <w:lang w:val="ru-RU"/>
        </w:rPr>
        <w:t>”</w:t>
      </w:r>
      <w:r w:rsidR="00C146D0">
        <w:t>;</w:t>
      </w:r>
    </w:p>
    <w:p w14:paraId="139E5414" w14:textId="6049A182" w:rsidR="000138DC" w:rsidRPr="00FA2F1D" w:rsidRDefault="000138DC" w:rsidP="009E59C2">
      <w:pPr>
        <w:ind w:firstLine="567"/>
      </w:pPr>
      <w:r w:rsidRPr="00FA2F1D">
        <w:t>у підпункті 5 слова “завантаження платіжних пристроїв</w:t>
      </w:r>
      <w:r w:rsidRPr="00FA2F1D">
        <w:rPr>
          <w:lang w:val="ru-RU"/>
        </w:rPr>
        <w:t>”</w:t>
      </w:r>
      <w:r w:rsidRPr="00FA2F1D">
        <w:t xml:space="preserve"> замінити словами “завантаження/розвантаження готівкою платіжних пристроїв”;</w:t>
      </w:r>
    </w:p>
    <w:p w14:paraId="3C0C413B" w14:textId="0E6A9098" w:rsidR="000138DC" w:rsidRPr="00FA2F1D" w:rsidRDefault="000138DC" w:rsidP="009E59C2">
      <w:pPr>
        <w:ind w:firstLine="567"/>
      </w:pPr>
      <w:r w:rsidRPr="00FA2F1D">
        <w:t>пункт після</w:t>
      </w:r>
      <w:r w:rsidR="00272730">
        <w:t xml:space="preserve"> підпункту 5 доповнити сімома</w:t>
      </w:r>
      <w:r w:rsidRPr="00FA2F1D">
        <w:t xml:space="preserve"> новими підпунктами 5</w:t>
      </w:r>
      <w:r w:rsidRPr="00FA2F1D">
        <w:rPr>
          <w:vertAlign w:val="superscript"/>
        </w:rPr>
        <w:t>1</w:t>
      </w:r>
      <w:r w:rsidRPr="00FA2F1D">
        <w:t>–5</w:t>
      </w:r>
      <w:r w:rsidR="00272730">
        <w:rPr>
          <w:vertAlign w:val="superscript"/>
        </w:rPr>
        <w:t>7</w:t>
      </w:r>
      <w:r w:rsidRPr="00FA2F1D">
        <w:t xml:space="preserve"> такого змісту:</w:t>
      </w:r>
    </w:p>
    <w:p w14:paraId="3D2F5697" w14:textId="6812EFE9" w:rsidR="000138DC" w:rsidRPr="00FA2F1D" w:rsidRDefault="000138DC" w:rsidP="009E59C2">
      <w:pPr>
        <w:ind w:firstLine="567"/>
      </w:pPr>
      <w:r w:rsidRPr="00FA2F1D">
        <w:t>“5</w:t>
      </w:r>
      <w:r w:rsidRPr="00FA2F1D">
        <w:rPr>
          <w:vertAlign w:val="superscript"/>
        </w:rPr>
        <w:t>1</w:t>
      </w:r>
      <w:r w:rsidRPr="00FA2F1D">
        <w:t>) передавання готівки</w:t>
      </w:r>
      <w:r w:rsidR="009B288F">
        <w:t xml:space="preserve">, </w:t>
      </w:r>
      <w:r w:rsidR="00F67609">
        <w:t xml:space="preserve">що належить </w:t>
      </w:r>
      <w:r w:rsidR="00242080">
        <w:t>інкасаторській</w:t>
      </w:r>
      <w:r w:rsidRPr="00FA2F1D">
        <w:t xml:space="preserve"> компанії</w:t>
      </w:r>
      <w:r w:rsidR="00F67609">
        <w:t>,</w:t>
      </w:r>
      <w:r w:rsidRPr="00FA2F1D">
        <w:t xml:space="preserve"> до банку після перерахування банком коштів на окремий поточний рахунок інкасаторської компанії </w:t>
      </w:r>
      <w:r w:rsidR="000B0D11">
        <w:t>в</w:t>
      </w:r>
      <w:r w:rsidRPr="00FA2F1D">
        <w:t xml:space="preserve"> розрахунковому банку без доставки (фактичного переміщення) цієї готівки до операційних кас банку (філій</w:t>
      </w:r>
      <w:r w:rsidR="000B0D11">
        <w:t>, відділень</w:t>
      </w:r>
      <w:r w:rsidRPr="00FA2F1D">
        <w:t>) та з подальшим зберіганням цієї готівки, що належить банку, у сховищі інкасаторської компанії на підставі та в межах укладених договорів;</w:t>
      </w:r>
    </w:p>
    <w:p w14:paraId="5C19B6BF" w14:textId="77777777" w:rsidR="000138DC" w:rsidRPr="00FA2F1D" w:rsidRDefault="000138DC" w:rsidP="009E59C2">
      <w:pPr>
        <w:ind w:firstLine="567"/>
      </w:pPr>
    </w:p>
    <w:p w14:paraId="618499B2" w14:textId="0BC8AEAA" w:rsidR="000138DC" w:rsidRPr="00FA2F1D" w:rsidRDefault="000138DC" w:rsidP="009E59C2">
      <w:pPr>
        <w:ind w:firstLine="567"/>
      </w:pPr>
      <w:r w:rsidRPr="00FA2F1D">
        <w:t>5</w:t>
      </w:r>
      <w:r w:rsidRPr="00FA2F1D">
        <w:rPr>
          <w:vertAlign w:val="superscript"/>
        </w:rPr>
        <w:t>2</w:t>
      </w:r>
      <w:r w:rsidRPr="00FA2F1D">
        <w:t>) передавання готівки</w:t>
      </w:r>
      <w:r w:rsidR="00F67609">
        <w:t xml:space="preserve">, що належить </w:t>
      </w:r>
      <w:r w:rsidRPr="00FA2F1D">
        <w:t>інкасаторськ</w:t>
      </w:r>
      <w:r w:rsidR="00F67609">
        <w:t>ій</w:t>
      </w:r>
      <w:r w:rsidRPr="00FA2F1D">
        <w:t xml:space="preserve"> компані</w:t>
      </w:r>
      <w:r w:rsidR="00F67609">
        <w:t>ї,</w:t>
      </w:r>
      <w:r w:rsidRPr="00FA2F1D">
        <w:t xml:space="preserve"> </w:t>
      </w:r>
      <w:r w:rsidR="00F44845">
        <w:t>від одного власного підрозділу до іншого</w:t>
      </w:r>
      <w:r w:rsidRPr="00FA2F1D">
        <w:t>;</w:t>
      </w:r>
    </w:p>
    <w:p w14:paraId="3709397A" w14:textId="77777777" w:rsidR="000138DC" w:rsidRPr="00FA2F1D" w:rsidRDefault="000138DC" w:rsidP="009E59C2">
      <w:pPr>
        <w:ind w:firstLine="567"/>
      </w:pPr>
    </w:p>
    <w:p w14:paraId="77EEC1CD" w14:textId="405715A0" w:rsidR="000138DC" w:rsidRPr="00FA2F1D" w:rsidRDefault="000138DC" w:rsidP="009E59C2">
      <w:pPr>
        <w:ind w:firstLine="567"/>
      </w:pPr>
      <w:r w:rsidRPr="00FA2F1D">
        <w:t>5</w:t>
      </w:r>
      <w:r w:rsidRPr="00FA2F1D">
        <w:rPr>
          <w:vertAlign w:val="superscript"/>
        </w:rPr>
        <w:t>3</w:t>
      </w:r>
      <w:r w:rsidRPr="00FA2F1D">
        <w:t>) передавання банком готівки, що належить банку і зберігається в сховищі інкасаторської компанії, від цього банку до іншого банку з подальшим зберіганням цієї готівки, що належить іншому банку, у сховищі інкасаторської компанії на підставі та в межах укладених договорів;</w:t>
      </w:r>
    </w:p>
    <w:p w14:paraId="1D8DD66D" w14:textId="77777777" w:rsidR="000138DC" w:rsidRPr="00FA2F1D" w:rsidRDefault="000138DC" w:rsidP="009E59C2">
      <w:pPr>
        <w:ind w:firstLine="567"/>
      </w:pPr>
    </w:p>
    <w:p w14:paraId="6567DE4D" w14:textId="7108BC46" w:rsidR="000138DC" w:rsidRPr="00FA2F1D" w:rsidRDefault="000138DC" w:rsidP="009E59C2">
      <w:pPr>
        <w:ind w:firstLine="567"/>
      </w:pPr>
      <w:r w:rsidRPr="00FA2F1D">
        <w:t>5</w:t>
      </w:r>
      <w:r w:rsidRPr="00FA2F1D">
        <w:rPr>
          <w:vertAlign w:val="superscript"/>
        </w:rPr>
        <w:t>4</w:t>
      </w:r>
      <w:r w:rsidRPr="00FA2F1D">
        <w:t>) передавання банком готівки, що належить банку і зберігається в сховищі інкасаторської компанії, від цього банку до інкасаторської компанії на підставі та в межах укладених договорів;</w:t>
      </w:r>
    </w:p>
    <w:p w14:paraId="5CC80D7B" w14:textId="77777777" w:rsidR="000138DC" w:rsidRPr="00FA2F1D" w:rsidRDefault="000138DC" w:rsidP="009E59C2">
      <w:pPr>
        <w:ind w:firstLine="567"/>
      </w:pPr>
    </w:p>
    <w:p w14:paraId="01BA1BE7" w14:textId="3AB6515C" w:rsidR="000138DC" w:rsidRPr="00FA2F1D" w:rsidRDefault="000138DC" w:rsidP="009E59C2">
      <w:pPr>
        <w:ind w:firstLine="567"/>
      </w:pPr>
      <w:r w:rsidRPr="00FA2F1D">
        <w:lastRenderedPageBreak/>
        <w:t>5</w:t>
      </w:r>
      <w:r w:rsidRPr="00FA2F1D">
        <w:rPr>
          <w:vertAlign w:val="superscript"/>
        </w:rPr>
        <w:t>5</w:t>
      </w:r>
      <w:r w:rsidRPr="00FA2F1D">
        <w:t>) передавання банком готівки, що належить банку і зберігається в сховищі інкасаторської компанії, від одного підрозділу інкасаторської компанії до іншого на підставі та в межах укладених договорів;</w:t>
      </w:r>
    </w:p>
    <w:p w14:paraId="5BCD15D4" w14:textId="77777777" w:rsidR="000138DC" w:rsidRPr="00FA2F1D" w:rsidRDefault="000138DC" w:rsidP="009E59C2">
      <w:pPr>
        <w:ind w:firstLine="567"/>
      </w:pPr>
    </w:p>
    <w:p w14:paraId="65CB4699" w14:textId="77777777" w:rsidR="000138DC" w:rsidRPr="00FA2F1D" w:rsidRDefault="000138DC" w:rsidP="009E59C2">
      <w:pPr>
        <w:ind w:firstLine="567"/>
      </w:pPr>
      <w:r w:rsidRPr="00FA2F1D">
        <w:t>5</w:t>
      </w:r>
      <w:r w:rsidRPr="00FA2F1D">
        <w:rPr>
          <w:vertAlign w:val="superscript"/>
        </w:rPr>
        <w:t>6</w:t>
      </w:r>
      <w:r w:rsidRPr="00FA2F1D">
        <w:t xml:space="preserve">) передавання готівки, що належить банку і зберігається в сховищі інкасаторської компанії, підрозділам цього банку, його клієнтам, завантаження/розвантаження платіжних пристроїв готівкою; </w:t>
      </w:r>
    </w:p>
    <w:p w14:paraId="42605198" w14:textId="77777777" w:rsidR="000138DC" w:rsidRPr="00FA2F1D" w:rsidRDefault="000138DC" w:rsidP="009E59C2">
      <w:pPr>
        <w:ind w:firstLine="567"/>
      </w:pPr>
    </w:p>
    <w:p w14:paraId="0942FED0" w14:textId="6674238A" w:rsidR="000138DC" w:rsidRPr="00FA2F1D" w:rsidRDefault="000138DC" w:rsidP="009E59C2">
      <w:pPr>
        <w:ind w:firstLine="567"/>
      </w:pPr>
      <w:r w:rsidRPr="00FA2F1D">
        <w:t>5</w:t>
      </w:r>
      <w:r w:rsidR="00272730">
        <w:rPr>
          <w:vertAlign w:val="superscript"/>
        </w:rPr>
        <w:t>7</w:t>
      </w:r>
      <w:r w:rsidRPr="00FA2F1D">
        <w:t>) обмін інкасаторською компанією придатної</w:t>
      </w:r>
      <w:r w:rsidR="00702C36">
        <w:t xml:space="preserve"> до обігу</w:t>
      </w:r>
      <w:r w:rsidRPr="00FA2F1D">
        <w:t xml:space="preserve"> готівки (банкнот на монети або монет на банкноти) за заявкою клієнта в касі клієнта під час доставлення готівки, інкасації або як проведення окремої операції на підставі та в межах укладених договорів</w:t>
      </w:r>
      <w:r w:rsidR="00BE15DB">
        <w:t>;</w:t>
      </w:r>
      <w:r w:rsidRPr="00FA2F1D">
        <w:t>”;</w:t>
      </w:r>
    </w:p>
    <w:p w14:paraId="6A3639DE" w14:textId="77777777" w:rsidR="000138DC" w:rsidRPr="00FA2F1D" w:rsidRDefault="000138DC" w:rsidP="009E59C2">
      <w:pPr>
        <w:ind w:firstLine="567"/>
      </w:pPr>
      <w:r w:rsidRPr="00FA2F1D">
        <w:t>підпункти 9, 12 викласти в такій редакції:</w:t>
      </w:r>
    </w:p>
    <w:p w14:paraId="3D56DE5A" w14:textId="5F1DA9CF" w:rsidR="000138DC" w:rsidRPr="00FA2F1D" w:rsidRDefault="000138DC" w:rsidP="009E59C2">
      <w:pPr>
        <w:ind w:firstLine="567"/>
      </w:pPr>
      <w:r w:rsidRPr="00FA2F1D">
        <w:t xml:space="preserve">“9) переказ власних коштів </w:t>
      </w:r>
      <w:r w:rsidR="007303FD">
        <w:t>і</w:t>
      </w:r>
      <w:r w:rsidRPr="00FA2F1D">
        <w:t>з поточного рахунку інкасаторської компанії на окремий поточний рахунок інкасаторської компанії в розрахунковому банку та повернення переказаних власних коштів з окремого поточного рахунку інкасаторської компанії в розрахунковому банку на поточний рахунок інкасаторської компанії;”;</w:t>
      </w:r>
    </w:p>
    <w:p w14:paraId="489D0154" w14:textId="2044CA31" w:rsidR="000138DC" w:rsidRPr="00FA2F1D" w:rsidRDefault="000138DC" w:rsidP="009E59C2">
      <w:pPr>
        <w:ind w:firstLine="567"/>
      </w:pPr>
      <w:r w:rsidRPr="00FA2F1D">
        <w:t>“12) зберігання на підставі укладених договорів у сховищі інкасаторської компанії готівки, обробленої на автоматизованих системах оброблення готівки</w:t>
      </w:r>
      <w:r w:rsidR="0083232C">
        <w:t>, що</w:t>
      </w:r>
      <w:r w:rsidRPr="00FA2F1D">
        <w:t>:</w:t>
      </w:r>
    </w:p>
    <w:p w14:paraId="4A48DD2A" w14:textId="0C6E8C8A" w:rsidR="000138DC" w:rsidRPr="00FA2F1D" w:rsidRDefault="000138DC" w:rsidP="009E59C2">
      <w:pPr>
        <w:ind w:firstLine="567"/>
      </w:pPr>
      <w:r w:rsidRPr="00FA2F1D">
        <w:t xml:space="preserve">інкасована з операційних кас банків (філій, відділень), платіжних пристроїв; </w:t>
      </w:r>
    </w:p>
    <w:p w14:paraId="68597271" w14:textId="0DF94338" w:rsidR="000138DC" w:rsidRPr="00FA2F1D" w:rsidRDefault="000138DC" w:rsidP="009E59C2">
      <w:pPr>
        <w:ind w:firstLine="567"/>
      </w:pPr>
      <w:r w:rsidRPr="00FA2F1D">
        <w:t>передан</w:t>
      </w:r>
      <w:r w:rsidR="007303FD">
        <w:t>а</w:t>
      </w:r>
      <w:r w:rsidRPr="00FA2F1D">
        <w:t xml:space="preserve"> банку іншим банком або інкасаторською компанією</w:t>
      </w:r>
      <w:r w:rsidR="00D53474">
        <w:t>.</w:t>
      </w:r>
      <w:r w:rsidRPr="00FA2F1D">
        <w:t>”</w:t>
      </w:r>
      <w:r w:rsidR="00D53474">
        <w:t>;</w:t>
      </w:r>
      <w:r w:rsidRPr="00FA2F1D">
        <w:t xml:space="preserve"> </w:t>
      </w:r>
    </w:p>
    <w:p w14:paraId="4A883F41" w14:textId="77777777" w:rsidR="000138DC" w:rsidRPr="00FA2F1D" w:rsidRDefault="000138DC" w:rsidP="009E59C2">
      <w:pPr>
        <w:ind w:firstLine="567"/>
      </w:pPr>
      <w:r w:rsidRPr="00FA2F1D">
        <w:t>пункт доповнити новим абзацом такого змісту:</w:t>
      </w:r>
    </w:p>
    <w:p w14:paraId="67EF7129" w14:textId="3F961A2D" w:rsidR="000138DC" w:rsidRPr="00FA2F1D" w:rsidRDefault="000138DC" w:rsidP="009E59C2">
      <w:pPr>
        <w:ind w:firstLine="567"/>
      </w:pPr>
      <w:r w:rsidRPr="00FA2F1D">
        <w:t>“Усі операції з готівкою, що здійснюються банком/інкасаторською компанією відповідно до вимог пункту 5 розділу І цього Положення</w:t>
      </w:r>
      <w:r w:rsidR="008C7252">
        <w:t>,</w:t>
      </w:r>
      <w:r w:rsidRPr="00FA2F1D">
        <w:t xml:space="preserve"> відображаються банком/інкасаторською компанією на відповідних рахунках.”;</w:t>
      </w:r>
    </w:p>
    <w:p w14:paraId="67D515D9" w14:textId="29A57F33" w:rsidR="000138DC" w:rsidRPr="00FA2F1D" w:rsidRDefault="000138DC" w:rsidP="009E59C2">
      <w:pPr>
        <w:ind w:firstLine="567"/>
      </w:pPr>
    </w:p>
    <w:p w14:paraId="74B40B82" w14:textId="62727BDE" w:rsidR="000138DC" w:rsidRPr="00FA2F1D" w:rsidRDefault="001F28C4" w:rsidP="009E59C2">
      <w:pPr>
        <w:ind w:firstLine="567"/>
      </w:pPr>
      <w:r>
        <w:t>2</w:t>
      </w:r>
      <w:r w:rsidR="000138DC" w:rsidRPr="00FA2F1D">
        <w:t>) у пункті 9:</w:t>
      </w:r>
    </w:p>
    <w:p w14:paraId="3A2A66B9" w14:textId="19D06741" w:rsidR="000138DC" w:rsidRPr="00FA2F1D" w:rsidRDefault="000138DC" w:rsidP="009E59C2">
      <w:pPr>
        <w:ind w:firstLine="567"/>
      </w:pPr>
      <w:r w:rsidRPr="00FA2F1D">
        <w:t>в абзаці другому слова “проконтролювати наявність готівки</w:t>
      </w:r>
      <w:r w:rsidR="00E423E0">
        <w:t>, що</w:t>
      </w:r>
      <w:r w:rsidRPr="00FA2F1D">
        <w:t>” замінити словами “контролювати наявність готівки</w:t>
      </w:r>
      <w:r w:rsidR="00E423E0">
        <w:t>, що належить цьому банку та</w:t>
      </w:r>
      <w:r w:rsidRPr="00FA2F1D">
        <w:t>”;</w:t>
      </w:r>
    </w:p>
    <w:p w14:paraId="07B3A1A6" w14:textId="0ED3FED1" w:rsidR="000138DC" w:rsidRPr="00FA2F1D" w:rsidRDefault="000138DC" w:rsidP="009E59C2">
      <w:pPr>
        <w:ind w:firstLine="567"/>
      </w:pPr>
      <w:r w:rsidRPr="00FA2F1D">
        <w:t>пункт доповнити двома новими абзацами такого змісту:</w:t>
      </w:r>
    </w:p>
    <w:p w14:paraId="114D1A00" w14:textId="54961C7D" w:rsidR="000138DC" w:rsidRPr="00FA2F1D" w:rsidRDefault="000138DC" w:rsidP="009E59C2">
      <w:pPr>
        <w:ind w:firstLine="567"/>
      </w:pPr>
      <w:r w:rsidRPr="00FA2F1D">
        <w:t>“Інкасаторська компанія зобов’язана готівку</w:t>
      </w:r>
      <w:r w:rsidR="00450B21">
        <w:t xml:space="preserve">, </w:t>
      </w:r>
      <w:r w:rsidR="001543E7">
        <w:t xml:space="preserve">прийняту </w:t>
      </w:r>
      <w:r w:rsidR="00450B21">
        <w:t>від</w:t>
      </w:r>
      <w:r w:rsidRPr="00FA2F1D">
        <w:t xml:space="preserve"> кожного банку (юридичної особи)</w:t>
      </w:r>
      <w:r w:rsidR="00450B21">
        <w:t>,</w:t>
      </w:r>
      <w:r w:rsidRPr="00FA2F1D">
        <w:t xml:space="preserve"> зберігати у сховищі в окремих шафах, що замикаються на ключ</w:t>
      </w:r>
      <w:r w:rsidR="00450B21">
        <w:t>,</w:t>
      </w:r>
      <w:r w:rsidRPr="00FA2F1D">
        <w:t xml:space="preserve"> або в окремих сейфах та окремо від власної готівки.</w:t>
      </w:r>
    </w:p>
    <w:p w14:paraId="55EB2A6C" w14:textId="093BEEA7" w:rsidR="000138DC" w:rsidRPr="00FA2F1D" w:rsidRDefault="000138DC" w:rsidP="009E59C2">
      <w:pPr>
        <w:ind w:firstLine="567"/>
      </w:pPr>
      <w:r w:rsidRPr="00FA2F1D">
        <w:t>Інкасаторська компанія складає опис із зазначенням дати та загальної суми фактичного залишку готівки</w:t>
      </w:r>
      <w:r w:rsidR="00450B21">
        <w:t xml:space="preserve">, </w:t>
      </w:r>
      <w:r w:rsidR="001543E7">
        <w:t xml:space="preserve">прийнятої </w:t>
      </w:r>
      <w:r w:rsidR="00450B21">
        <w:t>від</w:t>
      </w:r>
      <w:r w:rsidRPr="00FA2F1D">
        <w:t xml:space="preserve"> кожного банку (філії, відділення), що зберігається у сховищі (сейфі) інкасаторської компанії. Описи зберігаються у сховищі (сейфі) інкасаторської компанії разом з готівкою.”;</w:t>
      </w:r>
    </w:p>
    <w:p w14:paraId="39C74275" w14:textId="77777777" w:rsidR="000138DC" w:rsidRPr="00FA2F1D" w:rsidRDefault="000138DC" w:rsidP="009E59C2">
      <w:pPr>
        <w:ind w:firstLine="567"/>
      </w:pPr>
    </w:p>
    <w:p w14:paraId="2C4D5873" w14:textId="6F71BC6F" w:rsidR="000138DC" w:rsidRPr="00FA2F1D" w:rsidRDefault="001F28C4" w:rsidP="009E59C2">
      <w:pPr>
        <w:ind w:firstLine="567"/>
      </w:pPr>
      <w:r>
        <w:t>3</w:t>
      </w:r>
      <w:r w:rsidR="000138DC" w:rsidRPr="00FA2F1D">
        <w:t>) у пункті 11:</w:t>
      </w:r>
    </w:p>
    <w:p w14:paraId="2E46F45E" w14:textId="77777777" w:rsidR="000138DC" w:rsidRPr="00FA2F1D" w:rsidRDefault="000138DC" w:rsidP="009E59C2">
      <w:pPr>
        <w:ind w:firstLine="567"/>
      </w:pPr>
      <w:r w:rsidRPr="00FA2F1D">
        <w:t xml:space="preserve">абзац перший після слова “дорученням” доповнити словами “інкасаторської компанії”; </w:t>
      </w:r>
    </w:p>
    <w:p w14:paraId="731983A6" w14:textId="77777777" w:rsidR="000138DC" w:rsidRPr="00FA2F1D" w:rsidRDefault="000138DC" w:rsidP="009E59C2">
      <w:pPr>
        <w:ind w:firstLine="567"/>
      </w:pPr>
      <w:r w:rsidRPr="00FA2F1D">
        <w:t>абзац другий викласти в такій редакції:</w:t>
      </w:r>
    </w:p>
    <w:p w14:paraId="34DC7EC7" w14:textId="49CB1AF6" w:rsidR="000138DC" w:rsidRPr="00FA2F1D" w:rsidRDefault="000138DC" w:rsidP="009E59C2">
      <w:pPr>
        <w:ind w:firstLine="567"/>
      </w:pPr>
      <w:r w:rsidRPr="00FA2F1D">
        <w:lastRenderedPageBreak/>
        <w:t>“Інкасаторська компанія зобов’язана не пізніше наступного робочого дня повідомити Національний банк про відкриття кожного поточного рахунку та окремого поточного рахунку в розрахунковому банку.”;</w:t>
      </w:r>
      <w:r w:rsidR="00A81D82">
        <w:t xml:space="preserve"> </w:t>
      </w:r>
    </w:p>
    <w:p w14:paraId="09F85B5B" w14:textId="77777777" w:rsidR="000138DC" w:rsidRPr="00FA2F1D" w:rsidRDefault="000138DC" w:rsidP="009E59C2">
      <w:pPr>
        <w:ind w:firstLine="567"/>
      </w:pPr>
      <w:r w:rsidRPr="00FA2F1D">
        <w:t>пункт доповнити новим абзацом такого змісту:</w:t>
      </w:r>
    </w:p>
    <w:p w14:paraId="17D57B57" w14:textId="6EAF6696" w:rsidR="000138DC" w:rsidRPr="00FA2F1D" w:rsidRDefault="000138DC" w:rsidP="009E59C2">
      <w:pPr>
        <w:ind w:firstLine="567"/>
      </w:pPr>
      <w:r w:rsidRPr="00FA2F1D">
        <w:t>“Інкасаторська компанія зобов’язана проводити всі безготівкові розрахунки з контрагентами за операціями, визначеними</w:t>
      </w:r>
      <w:r w:rsidR="009B75ED">
        <w:t xml:space="preserve"> в</w:t>
      </w:r>
      <w:r w:rsidRPr="00FA2F1D">
        <w:t xml:space="preserve"> підпункта</w:t>
      </w:r>
      <w:r w:rsidR="009B75ED">
        <w:t>х</w:t>
      </w:r>
      <w:r w:rsidRPr="00FA2F1D">
        <w:t xml:space="preserve"> 5, 5</w:t>
      </w:r>
      <w:r w:rsidRPr="00FA2F1D">
        <w:rPr>
          <w:vertAlign w:val="superscript"/>
        </w:rPr>
        <w:t>1</w:t>
      </w:r>
      <w:r w:rsidRPr="00FA2F1D">
        <w:t>, 5</w:t>
      </w:r>
      <w:r w:rsidRPr="00FA2F1D">
        <w:rPr>
          <w:vertAlign w:val="superscript"/>
        </w:rPr>
        <w:t>4</w:t>
      </w:r>
      <w:r w:rsidRPr="00A81D82">
        <w:t xml:space="preserve"> </w:t>
      </w:r>
      <w:r w:rsidRPr="00FA2F1D">
        <w:t>пункту 5 розділу І цього Положення, через окремий/окремі поточний/поточні рахунок/рахунки, відкритий/відкриті в розрахунковому банку.”;</w:t>
      </w:r>
    </w:p>
    <w:p w14:paraId="73E984CE" w14:textId="77777777" w:rsidR="000138DC" w:rsidRPr="00FA2F1D" w:rsidRDefault="000138DC" w:rsidP="009E59C2">
      <w:pPr>
        <w:ind w:firstLine="567"/>
      </w:pPr>
    </w:p>
    <w:p w14:paraId="6098C89F" w14:textId="090FDC42" w:rsidR="000138DC" w:rsidRPr="00FA2F1D" w:rsidRDefault="001F28C4" w:rsidP="009E59C2">
      <w:pPr>
        <w:ind w:firstLine="567"/>
      </w:pPr>
      <w:r>
        <w:t>4</w:t>
      </w:r>
      <w:r w:rsidR="000138DC" w:rsidRPr="00FA2F1D">
        <w:t>) розділ після пункту 11 доповнити новим пунктом 11</w:t>
      </w:r>
      <w:r w:rsidR="000138DC" w:rsidRPr="00FA2F1D">
        <w:rPr>
          <w:vertAlign w:val="superscript"/>
        </w:rPr>
        <w:t>1</w:t>
      </w:r>
      <w:r w:rsidR="000138DC" w:rsidRPr="00A81D82">
        <w:t xml:space="preserve"> </w:t>
      </w:r>
      <w:r w:rsidR="000138DC" w:rsidRPr="00FA2F1D">
        <w:t>такого змісту:</w:t>
      </w:r>
    </w:p>
    <w:p w14:paraId="60556A48" w14:textId="77777777" w:rsidR="000138DC" w:rsidRPr="00FA2F1D" w:rsidRDefault="000138DC" w:rsidP="009E59C2">
      <w:pPr>
        <w:ind w:firstLine="567"/>
      </w:pPr>
      <w:r w:rsidRPr="00FA2F1D">
        <w:t>“11</w:t>
      </w:r>
      <w:r w:rsidRPr="00FA2F1D">
        <w:rPr>
          <w:vertAlign w:val="superscript"/>
        </w:rPr>
        <w:t>1</w:t>
      </w:r>
      <w:r w:rsidRPr="00FA2F1D">
        <w:t xml:space="preserve">. Розрахунковий банк, що здійснює обслуговування інкасаторської компанії, виконує функції суб’єкта первинного фінансового моніторингу щодо операцій інкасаторської компанії з готівкою. </w:t>
      </w:r>
    </w:p>
    <w:p w14:paraId="47DB22EC" w14:textId="1CE03772" w:rsidR="000138DC" w:rsidRPr="00FA2F1D" w:rsidRDefault="000138DC" w:rsidP="009E59C2">
      <w:pPr>
        <w:ind w:firstLine="567"/>
      </w:pPr>
      <w:r w:rsidRPr="00FA2F1D">
        <w:t xml:space="preserve">Інкасаторська компанія </w:t>
      </w:r>
      <w:r w:rsidR="0083232C">
        <w:t>зобов’язана надавати</w:t>
      </w:r>
      <w:r w:rsidRPr="00FA2F1D">
        <w:t xml:space="preserve"> інформацію на запит розрахункового банку щодо проведених операцій з готівкою.”.</w:t>
      </w:r>
    </w:p>
    <w:p w14:paraId="3CD79E9D" w14:textId="77777777" w:rsidR="000138DC" w:rsidRPr="00FA2F1D" w:rsidRDefault="000138DC" w:rsidP="009E59C2">
      <w:pPr>
        <w:ind w:firstLine="567"/>
      </w:pPr>
    </w:p>
    <w:p w14:paraId="4A99B3AB" w14:textId="77777777" w:rsidR="006868D6" w:rsidRDefault="000138DC" w:rsidP="009E59C2">
      <w:pPr>
        <w:ind w:firstLine="567"/>
      </w:pPr>
      <w:r w:rsidRPr="00FA2F1D">
        <w:t xml:space="preserve">2. </w:t>
      </w:r>
      <w:r w:rsidR="006868D6">
        <w:t>У розділі ІІ:</w:t>
      </w:r>
    </w:p>
    <w:p w14:paraId="118B7430" w14:textId="77777777" w:rsidR="006868D6" w:rsidRDefault="006868D6" w:rsidP="009E59C2">
      <w:pPr>
        <w:ind w:firstLine="567"/>
      </w:pPr>
    </w:p>
    <w:p w14:paraId="79F0367E" w14:textId="05B3E40A" w:rsidR="009B75ED" w:rsidRDefault="006868D6" w:rsidP="009E59C2">
      <w:pPr>
        <w:ind w:firstLine="567"/>
      </w:pPr>
      <w:r>
        <w:t>1) п</w:t>
      </w:r>
      <w:r w:rsidR="001F28C4" w:rsidRPr="00FA2F1D">
        <w:t xml:space="preserve">ункт 16 </w:t>
      </w:r>
      <w:r w:rsidR="000138DC" w:rsidRPr="00FA2F1D">
        <w:t>після слів “рахунки суб’єктів господарюван</w:t>
      </w:r>
      <w:r w:rsidR="00F17115">
        <w:t>ня” доповнити словами “, готівкову виручку від яких</w:t>
      </w:r>
      <w:r w:rsidR="000138DC" w:rsidRPr="00FA2F1D">
        <w:t xml:space="preserve"> було інкасо</w:t>
      </w:r>
      <w:r>
        <w:t>вано інкасаторською компанією,”;</w:t>
      </w:r>
    </w:p>
    <w:p w14:paraId="61400C34" w14:textId="609C29AA" w:rsidR="006868D6" w:rsidRDefault="006868D6" w:rsidP="009E59C2">
      <w:pPr>
        <w:ind w:firstLine="567"/>
      </w:pPr>
    </w:p>
    <w:p w14:paraId="61F74DE0" w14:textId="15BFC89C" w:rsidR="006868D6" w:rsidRDefault="006868D6" w:rsidP="009E59C2">
      <w:pPr>
        <w:ind w:firstLine="567"/>
      </w:pPr>
      <w:r>
        <w:t>2) пункт 18 доповнити двома новими абзацами такого змісту:</w:t>
      </w:r>
    </w:p>
    <w:p w14:paraId="303F706E" w14:textId="6BA79B80" w:rsidR="006868D6" w:rsidRDefault="006868D6" w:rsidP="009E59C2">
      <w:pPr>
        <w:ind w:firstLine="567"/>
      </w:pPr>
      <w:r>
        <w:t xml:space="preserve">“Інкасаторська компанія за допомогою програмно-технічного комплексу має з урахуванням вимог інформаційної безпеки забезпечити хронологічне та систематичне відображення всіх проведених операцій з деталізацією процесів проведення операційної діяльності. Інформація </w:t>
      </w:r>
      <w:r w:rsidR="00892F1B">
        <w:t xml:space="preserve">про </w:t>
      </w:r>
      <w:r>
        <w:t>проведення операційної діяльності, що зберігається в сховищі даних, має бути захищена від модифікації та знищення.</w:t>
      </w:r>
    </w:p>
    <w:p w14:paraId="0CF5E771" w14:textId="2F142725" w:rsidR="006868D6" w:rsidRDefault="006868D6" w:rsidP="009E59C2">
      <w:pPr>
        <w:ind w:firstLine="567"/>
      </w:pPr>
      <w:r>
        <w:t xml:space="preserve">Інкасаторська компанія зобов’язана розробити та виконувати процедури внутрішнього контролю за дотриманням вимог щодо впровадження заходів безпеки інформації в програмно-технічних комплексах згідно з нормативно-правовими актами Національного банку та вимогами розробників систем захисту </w:t>
      </w:r>
      <w:proofErr w:type="spellStart"/>
      <w:r>
        <w:t>інформації.ˮ</w:t>
      </w:r>
      <w:proofErr w:type="spellEnd"/>
      <w:r>
        <w:t>.</w:t>
      </w:r>
    </w:p>
    <w:p w14:paraId="455A6B8D" w14:textId="77777777" w:rsidR="006868D6" w:rsidRDefault="006868D6" w:rsidP="009E59C2">
      <w:pPr>
        <w:ind w:firstLine="567"/>
      </w:pPr>
    </w:p>
    <w:p w14:paraId="7A4127D0" w14:textId="52C21017" w:rsidR="000138DC" w:rsidRPr="00FA2F1D" w:rsidRDefault="000138DC" w:rsidP="009E59C2">
      <w:pPr>
        <w:ind w:firstLine="567"/>
      </w:pPr>
      <w:r w:rsidRPr="00FA2F1D">
        <w:t>3. У розділі ІІІ:</w:t>
      </w:r>
    </w:p>
    <w:p w14:paraId="5A544B6E" w14:textId="77777777" w:rsidR="009B75ED" w:rsidRDefault="009B75ED" w:rsidP="009E59C2">
      <w:pPr>
        <w:ind w:firstLine="567"/>
      </w:pPr>
    </w:p>
    <w:p w14:paraId="30A14A7A" w14:textId="422D2E41" w:rsidR="000138DC" w:rsidRPr="00FA2F1D" w:rsidRDefault="000138DC" w:rsidP="009E59C2">
      <w:pPr>
        <w:ind w:firstLine="567"/>
      </w:pPr>
      <w:r w:rsidRPr="00FA2F1D">
        <w:t>1) пункт 23 викласти в такій редакції:</w:t>
      </w:r>
    </w:p>
    <w:p w14:paraId="36B30429" w14:textId="4016BEA6" w:rsidR="000138DC" w:rsidRPr="00FA2F1D" w:rsidRDefault="000138DC" w:rsidP="009E59C2">
      <w:pPr>
        <w:ind w:firstLine="567"/>
      </w:pPr>
      <w:r w:rsidRPr="00FA2F1D">
        <w:t>“23. Інкасаторська компанія після оброблення інкасованої готівки</w:t>
      </w:r>
      <w:r w:rsidR="009B75ED">
        <w:t>, що належить</w:t>
      </w:r>
      <w:r w:rsidRPr="00FA2F1D">
        <w:t xml:space="preserve"> клієнт</w:t>
      </w:r>
      <w:r w:rsidR="009B75ED">
        <w:t>ам</w:t>
      </w:r>
      <w:r w:rsidRPr="00FA2F1D">
        <w:t xml:space="preserve"> банку</w:t>
      </w:r>
      <w:r w:rsidR="009B75ED">
        <w:t>,</w:t>
      </w:r>
      <w:r w:rsidRPr="00FA2F1D">
        <w:t xml:space="preserve"> оприбутковує готівку в касу, оформляє та надає через програмний комплекс “Клієнт-Банк” до розрахункового банку платіжні доручення на перерахування зі свого окремого поточного рахунку суми фактично обробленої готівки на рахунки клієнтів банків.”;</w:t>
      </w:r>
    </w:p>
    <w:p w14:paraId="0CB36A92" w14:textId="77777777" w:rsidR="000138DC" w:rsidRPr="00FA2F1D" w:rsidRDefault="000138DC" w:rsidP="009E59C2">
      <w:pPr>
        <w:ind w:firstLine="567"/>
      </w:pPr>
    </w:p>
    <w:p w14:paraId="5A0C1610" w14:textId="77777777" w:rsidR="000138DC" w:rsidRPr="00FA2F1D" w:rsidRDefault="000138DC" w:rsidP="009E59C2">
      <w:pPr>
        <w:ind w:firstLine="567"/>
      </w:pPr>
      <w:r w:rsidRPr="00FA2F1D">
        <w:lastRenderedPageBreak/>
        <w:t>2) розділ після пункту 23 доповнити новим пунктом 23</w:t>
      </w:r>
      <w:r w:rsidRPr="00FA2F1D">
        <w:rPr>
          <w:vertAlign w:val="superscript"/>
        </w:rPr>
        <w:t>1</w:t>
      </w:r>
      <w:r w:rsidRPr="00A81D82">
        <w:t xml:space="preserve"> </w:t>
      </w:r>
      <w:r w:rsidRPr="00FA2F1D">
        <w:t>такого змісту:</w:t>
      </w:r>
    </w:p>
    <w:p w14:paraId="1CB75867" w14:textId="2FA222F4" w:rsidR="000138DC" w:rsidRPr="00FA2F1D" w:rsidRDefault="000138DC" w:rsidP="009E59C2">
      <w:pPr>
        <w:ind w:firstLine="567"/>
      </w:pPr>
      <w:r w:rsidRPr="00FA2F1D">
        <w:t>“23</w:t>
      </w:r>
      <w:r w:rsidRPr="00FA2F1D">
        <w:rPr>
          <w:vertAlign w:val="superscript"/>
        </w:rPr>
        <w:t>1</w:t>
      </w:r>
      <w:r w:rsidRPr="00FA2F1D">
        <w:t>. Інкасаторська компанія після оброблення готівки, доставленої з операційних кас банків (філій, відділень), платіжних пристроїв, у разі подальшо</w:t>
      </w:r>
      <w:r w:rsidR="00A35027">
        <w:t>го</w:t>
      </w:r>
      <w:r w:rsidRPr="00FA2F1D">
        <w:t xml:space="preserve"> переда</w:t>
      </w:r>
      <w:r w:rsidR="00A35027">
        <w:t>вання</w:t>
      </w:r>
      <w:r w:rsidRPr="00FA2F1D">
        <w:t xml:space="preserve"> цієї готівки, що належить банку, на зберігання до сховища інкасаторської компанії згідно з порядком, визначеним </w:t>
      </w:r>
      <w:r w:rsidR="00A35027">
        <w:t>у</w:t>
      </w:r>
      <w:r w:rsidRPr="00FA2F1D">
        <w:t xml:space="preserve"> договорі, повідомляє банк про суму фактично перерахованої готівки і після отримання підтвердження від банку щодо обсягів зберігання готівки вкладає цю готівку на зберігання до сховища інкасаторської компанії. Банк відображає готівку, передану таким чином на зберігання інкасаторській компанії, на відповідному рахунку банк</w:t>
      </w:r>
      <w:r w:rsidR="00A35027">
        <w:t>у</w:t>
      </w:r>
      <w:r w:rsidRPr="00FA2F1D">
        <w:t xml:space="preserve"> (банкноти та монети на зберіганні в інкасаторській компанії).</w:t>
      </w:r>
    </w:p>
    <w:p w14:paraId="40C7332C" w14:textId="77777777" w:rsidR="000138DC" w:rsidRPr="00FA2F1D" w:rsidRDefault="000138DC" w:rsidP="009E59C2">
      <w:pPr>
        <w:ind w:firstLine="567"/>
      </w:pPr>
      <w:r w:rsidRPr="00FA2F1D">
        <w:t>Інкасаторська компанія зобов’язана вести позабалансовий облік усієї готівки, що належить банкам та зберігається в її сховищі.”</w:t>
      </w:r>
      <w:r w:rsidRPr="00FA2F1D">
        <w:rPr>
          <w:lang w:val="ru-RU"/>
        </w:rPr>
        <w:t>;</w:t>
      </w:r>
    </w:p>
    <w:p w14:paraId="3502EAF6" w14:textId="77777777" w:rsidR="000138DC" w:rsidRPr="00FA2F1D" w:rsidRDefault="000138DC" w:rsidP="009E59C2">
      <w:pPr>
        <w:ind w:firstLine="567"/>
      </w:pPr>
    </w:p>
    <w:p w14:paraId="4BFCC040" w14:textId="77777777" w:rsidR="000138DC" w:rsidRPr="00FA2F1D" w:rsidRDefault="000138DC" w:rsidP="009E59C2">
      <w:pPr>
        <w:ind w:firstLine="567"/>
      </w:pPr>
      <w:r w:rsidRPr="00FA2F1D">
        <w:t>3) пункт 24 викласти в такій редакції:</w:t>
      </w:r>
    </w:p>
    <w:p w14:paraId="3A682BC5" w14:textId="77777777" w:rsidR="000138DC" w:rsidRPr="00FA2F1D" w:rsidRDefault="000138DC" w:rsidP="009E59C2">
      <w:pPr>
        <w:ind w:firstLine="567"/>
      </w:pPr>
      <w:r w:rsidRPr="00FA2F1D">
        <w:t>“24. Інкасаторська компанія відповідно до умов укладених договорів отримує від банків заявки для:</w:t>
      </w:r>
    </w:p>
    <w:p w14:paraId="4963FA36" w14:textId="77777777" w:rsidR="000138DC" w:rsidRPr="00FA2F1D" w:rsidRDefault="000138DC" w:rsidP="009E59C2">
      <w:pPr>
        <w:ind w:firstLine="567"/>
      </w:pPr>
    </w:p>
    <w:p w14:paraId="1B82B4B3" w14:textId="6303C215" w:rsidR="000138DC" w:rsidRPr="00FA2F1D" w:rsidRDefault="000138DC" w:rsidP="009E59C2">
      <w:pPr>
        <w:ind w:firstLine="567"/>
      </w:pPr>
      <w:r w:rsidRPr="00FA2F1D">
        <w:t>1) отримання</w:t>
      </w:r>
      <w:r w:rsidR="00C23F95" w:rsidRPr="00FA2F1D">
        <w:t xml:space="preserve"> від</w:t>
      </w:r>
      <w:r w:rsidRPr="00FA2F1D">
        <w:t>/видачі інкасаторської</w:t>
      </w:r>
      <w:r w:rsidR="00C23F95">
        <w:t>(</w:t>
      </w:r>
      <w:proofErr w:type="spellStart"/>
      <w:r w:rsidR="00C23F95">
        <w:t>ій</w:t>
      </w:r>
      <w:proofErr w:type="spellEnd"/>
      <w:r w:rsidR="00C23F95">
        <w:t>)</w:t>
      </w:r>
      <w:r w:rsidRPr="00FA2F1D">
        <w:t xml:space="preserve"> компанії готівки з доставкою її від/до операційних кас банку (філій, відділень);</w:t>
      </w:r>
    </w:p>
    <w:p w14:paraId="005AEAA8" w14:textId="77777777" w:rsidR="000138DC" w:rsidRPr="00FA2F1D" w:rsidRDefault="000138DC" w:rsidP="009E59C2">
      <w:pPr>
        <w:ind w:firstLine="567"/>
      </w:pPr>
    </w:p>
    <w:p w14:paraId="3AE8E847" w14:textId="77777777" w:rsidR="000138DC" w:rsidRPr="00FA2F1D" w:rsidRDefault="000138DC" w:rsidP="009E59C2">
      <w:pPr>
        <w:ind w:firstLine="567"/>
      </w:pPr>
      <w:r w:rsidRPr="00FA2F1D">
        <w:t>2) завантаження/розвантаження готівкою платіжних пристроїв;</w:t>
      </w:r>
    </w:p>
    <w:p w14:paraId="1423BCF2" w14:textId="77777777" w:rsidR="000138DC" w:rsidRPr="00FA2F1D" w:rsidRDefault="000138DC" w:rsidP="009E59C2">
      <w:pPr>
        <w:ind w:firstLine="567"/>
      </w:pPr>
    </w:p>
    <w:p w14:paraId="3A1446EA" w14:textId="52A100DD" w:rsidR="000138DC" w:rsidRPr="00FA2F1D" w:rsidRDefault="000138DC" w:rsidP="009E59C2">
      <w:pPr>
        <w:ind w:firstLine="567"/>
      </w:pPr>
      <w:r w:rsidRPr="00FA2F1D">
        <w:t>3)</w:t>
      </w:r>
      <w:r w:rsidR="00A35027">
        <w:rPr>
          <w:lang w:val="ru-RU"/>
        </w:rPr>
        <w:t> </w:t>
      </w:r>
      <w:proofErr w:type="spellStart"/>
      <w:r w:rsidRPr="00FA2F1D">
        <w:t>переда</w:t>
      </w:r>
      <w:r w:rsidR="00A35027">
        <w:rPr>
          <w:lang w:val="ru-RU"/>
        </w:rPr>
        <w:t>вання</w:t>
      </w:r>
      <w:proofErr w:type="spellEnd"/>
      <w:r w:rsidRPr="00FA2F1D">
        <w:t>/отримання готівки на/із зберігання до/зі сховища інкасаторської компанії.</w:t>
      </w:r>
    </w:p>
    <w:p w14:paraId="36F13EEC" w14:textId="68747E4D" w:rsidR="000138DC" w:rsidRPr="00FA2F1D" w:rsidRDefault="000138DC" w:rsidP="009E59C2">
      <w:pPr>
        <w:ind w:firstLine="567"/>
      </w:pPr>
      <w:r w:rsidRPr="00FA2F1D">
        <w:t xml:space="preserve">Інкасаторська компанія з урахуванням наявної в касі інкасованої готівки надсилає до банку рахунок для здійснення перерахування на окремий поточний рахунок інкасаторської компанії в розрахунковому банку безготівкових коштів на суму інкасованої готівки.”. </w:t>
      </w:r>
    </w:p>
    <w:p w14:paraId="6007BB40" w14:textId="77777777" w:rsidR="000138DC" w:rsidRPr="00FA2F1D" w:rsidRDefault="000138DC" w:rsidP="009E59C2">
      <w:pPr>
        <w:ind w:firstLine="567"/>
      </w:pPr>
    </w:p>
    <w:p w14:paraId="23A76616" w14:textId="77777777" w:rsidR="000138DC" w:rsidRPr="00FA2F1D" w:rsidRDefault="000138DC" w:rsidP="009E59C2">
      <w:pPr>
        <w:ind w:firstLine="567"/>
        <w:rPr>
          <w:lang w:val="ru-RU"/>
        </w:rPr>
      </w:pPr>
      <w:r w:rsidRPr="00FA2F1D">
        <w:t>4. Пункт 35 розділу І</w:t>
      </w:r>
      <w:r w:rsidRPr="00FA2F1D">
        <w:rPr>
          <w:lang w:val="en-US"/>
        </w:rPr>
        <w:t>V</w:t>
      </w:r>
      <w:r w:rsidRPr="00FA2F1D">
        <w:rPr>
          <w:lang w:val="ru-RU"/>
        </w:rPr>
        <w:t xml:space="preserve"> </w:t>
      </w:r>
      <w:proofErr w:type="spellStart"/>
      <w:r w:rsidRPr="00FA2F1D">
        <w:rPr>
          <w:lang w:val="ru-RU"/>
        </w:rPr>
        <w:t>викласти</w:t>
      </w:r>
      <w:proofErr w:type="spellEnd"/>
      <w:r w:rsidRPr="00FA2F1D">
        <w:rPr>
          <w:lang w:val="ru-RU"/>
        </w:rPr>
        <w:t xml:space="preserve"> в </w:t>
      </w:r>
      <w:proofErr w:type="spellStart"/>
      <w:r w:rsidRPr="00FA2F1D">
        <w:rPr>
          <w:lang w:val="ru-RU"/>
        </w:rPr>
        <w:t>такій</w:t>
      </w:r>
      <w:proofErr w:type="spellEnd"/>
      <w:r w:rsidRPr="00FA2F1D">
        <w:rPr>
          <w:lang w:val="ru-RU"/>
        </w:rPr>
        <w:t xml:space="preserve"> </w:t>
      </w:r>
      <w:proofErr w:type="spellStart"/>
      <w:r w:rsidRPr="00FA2F1D">
        <w:rPr>
          <w:lang w:val="ru-RU"/>
        </w:rPr>
        <w:t>редакції</w:t>
      </w:r>
      <w:proofErr w:type="spellEnd"/>
      <w:r w:rsidRPr="00FA2F1D">
        <w:rPr>
          <w:lang w:val="ru-RU"/>
        </w:rPr>
        <w:t>:</w:t>
      </w:r>
    </w:p>
    <w:p w14:paraId="680419AE" w14:textId="726B750F" w:rsidR="000138DC" w:rsidRPr="00FA2F1D" w:rsidRDefault="000138DC" w:rsidP="009E59C2">
      <w:pPr>
        <w:ind w:firstLine="567"/>
        <w:rPr>
          <w:lang w:val="ru-RU"/>
        </w:rPr>
      </w:pPr>
      <w:r w:rsidRPr="00FA2F1D">
        <w:rPr>
          <w:lang w:val="ru-RU"/>
        </w:rPr>
        <w:t xml:space="preserve">“35. </w:t>
      </w:r>
      <w:proofErr w:type="spellStart"/>
      <w:r w:rsidRPr="00FA2F1D">
        <w:rPr>
          <w:lang w:val="ru-RU"/>
        </w:rPr>
        <w:t>Національний</w:t>
      </w:r>
      <w:proofErr w:type="spellEnd"/>
      <w:r w:rsidRPr="00FA2F1D">
        <w:rPr>
          <w:lang w:val="ru-RU"/>
        </w:rPr>
        <w:t xml:space="preserve"> банк </w:t>
      </w:r>
      <w:proofErr w:type="spellStart"/>
      <w:r w:rsidRPr="00FA2F1D">
        <w:rPr>
          <w:lang w:val="ru-RU"/>
        </w:rPr>
        <w:t>здійснює</w:t>
      </w:r>
      <w:proofErr w:type="spellEnd"/>
      <w:r w:rsidRPr="00FA2F1D">
        <w:rPr>
          <w:lang w:val="ru-RU"/>
        </w:rPr>
        <w:t xml:space="preserve"> </w:t>
      </w:r>
      <w:proofErr w:type="spellStart"/>
      <w:r w:rsidRPr="00FA2F1D">
        <w:rPr>
          <w:lang w:val="ru-RU"/>
        </w:rPr>
        <w:t>перевірку</w:t>
      </w:r>
      <w:proofErr w:type="spellEnd"/>
      <w:r w:rsidRPr="00FA2F1D">
        <w:rPr>
          <w:lang w:val="ru-RU"/>
        </w:rPr>
        <w:t xml:space="preserve"> </w:t>
      </w:r>
      <w:proofErr w:type="spellStart"/>
      <w:r w:rsidRPr="00FA2F1D">
        <w:rPr>
          <w:lang w:val="ru-RU"/>
        </w:rPr>
        <w:t>діяльності</w:t>
      </w:r>
      <w:proofErr w:type="spellEnd"/>
      <w:r w:rsidRPr="00FA2F1D">
        <w:rPr>
          <w:lang w:val="ru-RU"/>
        </w:rPr>
        <w:t xml:space="preserve"> </w:t>
      </w:r>
      <w:proofErr w:type="spellStart"/>
      <w:r w:rsidRPr="00FA2F1D">
        <w:rPr>
          <w:lang w:val="ru-RU"/>
        </w:rPr>
        <w:t>інкасаторської</w:t>
      </w:r>
      <w:proofErr w:type="spellEnd"/>
      <w:r w:rsidRPr="00FA2F1D">
        <w:rPr>
          <w:lang w:val="ru-RU"/>
        </w:rPr>
        <w:t xml:space="preserve"> </w:t>
      </w:r>
      <w:proofErr w:type="spellStart"/>
      <w:r w:rsidRPr="00FA2F1D">
        <w:rPr>
          <w:lang w:val="ru-RU"/>
        </w:rPr>
        <w:t>компанії</w:t>
      </w:r>
      <w:proofErr w:type="spellEnd"/>
      <w:r w:rsidRPr="00FA2F1D">
        <w:rPr>
          <w:lang w:val="ru-RU"/>
        </w:rPr>
        <w:t xml:space="preserve"> </w:t>
      </w:r>
      <w:proofErr w:type="spellStart"/>
      <w:r w:rsidRPr="00FA2F1D">
        <w:rPr>
          <w:lang w:val="ru-RU"/>
        </w:rPr>
        <w:t>щодо</w:t>
      </w:r>
      <w:proofErr w:type="spellEnd"/>
      <w:r w:rsidRPr="00FA2F1D">
        <w:rPr>
          <w:lang w:val="ru-RU"/>
        </w:rPr>
        <w:t xml:space="preserve"> </w:t>
      </w:r>
      <w:proofErr w:type="spellStart"/>
      <w:r w:rsidRPr="00FA2F1D">
        <w:rPr>
          <w:lang w:val="ru-RU"/>
        </w:rPr>
        <w:t>виконання</w:t>
      </w:r>
      <w:proofErr w:type="spellEnd"/>
      <w:r w:rsidRPr="00FA2F1D">
        <w:rPr>
          <w:lang w:val="ru-RU"/>
        </w:rPr>
        <w:t xml:space="preserve"> нею </w:t>
      </w:r>
      <w:proofErr w:type="spellStart"/>
      <w:r w:rsidRPr="00FA2F1D">
        <w:rPr>
          <w:lang w:val="ru-RU"/>
        </w:rPr>
        <w:t>вимог</w:t>
      </w:r>
      <w:proofErr w:type="spellEnd"/>
      <w:r w:rsidRPr="00FA2F1D">
        <w:rPr>
          <w:lang w:val="ru-RU"/>
        </w:rPr>
        <w:t xml:space="preserve"> </w:t>
      </w:r>
      <w:proofErr w:type="spellStart"/>
      <w:r w:rsidRPr="00FA2F1D">
        <w:rPr>
          <w:lang w:val="ru-RU"/>
        </w:rPr>
        <w:t>цього</w:t>
      </w:r>
      <w:proofErr w:type="spellEnd"/>
      <w:r w:rsidRPr="00FA2F1D">
        <w:rPr>
          <w:lang w:val="ru-RU"/>
        </w:rPr>
        <w:t xml:space="preserve"> </w:t>
      </w:r>
      <w:proofErr w:type="spellStart"/>
      <w:r w:rsidRPr="00FA2F1D">
        <w:rPr>
          <w:lang w:val="ru-RU"/>
        </w:rPr>
        <w:t>Положення</w:t>
      </w:r>
      <w:proofErr w:type="spellEnd"/>
      <w:r w:rsidRPr="00FA2F1D">
        <w:rPr>
          <w:lang w:val="ru-RU"/>
        </w:rPr>
        <w:t xml:space="preserve">, </w:t>
      </w:r>
      <w:proofErr w:type="spellStart"/>
      <w:r w:rsidRPr="00FA2F1D">
        <w:rPr>
          <w:lang w:val="ru-RU"/>
        </w:rPr>
        <w:t>інших</w:t>
      </w:r>
      <w:proofErr w:type="spellEnd"/>
      <w:r w:rsidRPr="00FA2F1D">
        <w:rPr>
          <w:lang w:val="ru-RU"/>
        </w:rPr>
        <w:t xml:space="preserve"> нормативно-</w:t>
      </w:r>
      <w:proofErr w:type="spellStart"/>
      <w:r w:rsidRPr="00FA2F1D">
        <w:rPr>
          <w:lang w:val="ru-RU"/>
        </w:rPr>
        <w:t>правових</w:t>
      </w:r>
      <w:proofErr w:type="spellEnd"/>
      <w:r w:rsidRPr="00FA2F1D">
        <w:rPr>
          <w:lang w:val="ru-RU"/>
        </w:rPr>
        <w:t xml:space="preserve"> </w:t>
      </w:r>
      <w:proofErr w:type="spellStart"/>
      <w:r w:rsidRPr="00FA2F1D">
        <w:rPr>
          <w:lang w:val="ru-RU"/>
        </w:rPr>
        <w:t>актів</w:t>
      </w:r>
      <w:proofErr w:type="spellEnd"/>
      <w:r w:rsidRPr="00FA2F1D">
        <w:rPr>
          <w:lang w:val="ru-RU"/>
        </w:rPr>
        <w:t xml:space="preserve"> </w:t>
      </w:r>
      <w:proofErr w:type="spellStart"/>
      <w:r w:rsidRPr="00FA2F1D">
        <w:rPr>
          <w:lang w:val="ru-RU"/>
        </w:rPr>
        <w:t>Національного</w:t>
      </w:r>
      <w:proofErr w:type="spellEnd"/>
      <w:r w:rsidRPr="00FA2F1D">
        <w:rPr>
          <w:lang w:val="ru-RU"/>
        </w:rPr>
        <w:t xml:space="preserve"> банку з </w:t>
      </w:r>
      <w:proofErr w:type="spellStart"/>
      <w:r w:rsidRPr="00FA2F1D">
        <w:rPr>
          <w:lang w:val="ru-RU"/>
        </w:rPr>
        <w:t>питань</w:t>
      </w:r>
      <w:proofErr w:type="spellEnd"/>
      <w:r w:rsidRPr="00FA2F1D">
        <w:rPr>
          <w:lang w:val="ru-RU"/>
        </w:rPr>
        <w:t xml:space="preserve"> </w:t>
      </w:r>
      <w:proofErr w:type="spellStart"/>
      <w:r w:rsidRPr="00FA2F1D">
        <w:rPr>
          <w:lang w:val="ru-RU"/>
        </w:rPr>
        <w:t>інкасації</w:t>
      </w:r>
      <w:proofErr w:type="spellEnd"/>
      <w:r w:rsidRPr="00FA2F1D">
        <w:rPr>
          <w:lang w:val="ru-RU"/>
        </w:rPr>
        <w:t xml:space="preserve"> </w:t>
      </w:r>
      <w:proofErr w:type="spellStart"/>
      <w:r w:rsidRPr="00FA2F1D">
        <w:rPr>
          <w:lang w:val="ru-RU"/>
        </w:rPr>
        <w:t>коштів</w:t>
      </w:r>
      <w:proofErr w:type="spellEnd"/>
      <w:r w:rsidRPr="00FA2F1D">
        <w:rPr>
          <w:lang w:val="ru-RU"/>
        </w:rPr>
        <w:t xml:space="preserve"> та </w:t>
      </w:r>
      <w:proofErr w:type="spellStart"/>
      <w:r w:rsidRPr="00FA2F1D">
        <w:rPr>
          <w:lang w:val="ru-RU"/>
        </w:rPr>
        <w:t>перевезення</w:t>
      </w:r>
      <w:proofErr w:type="spellEnd"/>
      <w:r w:rsidRPr="00FA2F1D">
        <w:rPr>
          <w:lang w:val="ru-RU"/>
        </w:rPr>
        <w:t xml:space="preserve"> </w:t>
      </w:r>
      <w:proofErr w:type="spellStart"/>
      <w:r w:rsidRPr="00FA2F1D">
        <w:rPr>
          <w:lang w:val="ru-RU"/>
        </w:rPr>
        <w:t>валютних</w:t>
      </w:r>
      <w:proofErr w:type="spellEnd"/>
      <w:r w:rsidRPr="00FA2F1D">
        <w:rPr>
          <w:lang w:val="ru-RU"/>
        </w:rPr>
        <w:t xml:space="preserve"> </w:t>
      </w:r>
      <w:proofErr w:type="spellStart"/>
      <w:r w:rsidRPr="00FA2F1D">
        <w:rPr>
          <w:lang w:val="ru-RU"/>
        </w:rPr>
        <w:t>цінностей</w:t>
      </w:r>
      <w:proofErr w:type="spellEnd"/>
      <w:r w:rsidR="00B05C63">
        <w:rPr>
          <w:lang w:val="ru-RU"/>
        </w:rPr>
        <w:t xml:space="preserve">, </w:t>
      </w:r>
      <w:proofErr w:type="spellStart"/>
      <w:r w:rsidR="00B05C63">
        <w:rPr>
          <w:lang w:val="ru-RU"/>
        </w:rPr>
        <w:t>ведення</w:t>
      </w:r>
      <w:proofErr w:type="spellEnd"/>
      <w:r w:rsidR="00B05C63">
        <w:rPr>
          <w:lang w:val="ru-RU"/>
        </w:rPr>
        <w:t xml:space="preserve"> </w:t>
      </w:r>
      <w:proofErr w:type="spellStart"/>
      <w:r w:rsidR="00B05C63">
        <w:rPr>
          <w:lang w:val="ru-RU"/>
        </w:rPr>
        <w:t>касових</w:t>
      </w:r>
      <w:proofErr w:type="spellEnd"/>
      <w:r w:rsidR="00B05C63">
        <w:rPr>
          <w:lang w:val="ru-RU"/>
        </w:rPr>
        <w:t xml:space="preserve"> </w:t>
      </w:r>
      <w:proofErr w:type="spellStart"/>
      <w:r w:rsidR="00B05C63">
        <w:rPr>
          <w:lang w:val="ru-RU"/>
        </w:rPr>
        <w:t>операцій</w:t>
      </w:r>
      <w:proofErr w:type="spellEnd"/>
      <w:r w:rsidRPr="00FA2F1D">
        <w:rPr>
          <w:lang w:val="ru-RU"/>
        </w:rPr>
        <w:t xml:space="preserve"> </w:t>
      </w:r>
      <w:proofErr w:type="spellStart"/>
      <w:r w:rsidRPr="00FA2F1D">
        <w:rPr>
          <w:lang w:val="ru-RU"/>
        </w:rPr>
        <w:t>згідно</w:t>
      </w:r>
      <w:proofErr w:type="spellEnd"/>
      <w:r w:rsidRPr="00FA2F1D">
        <w:rPr>
          <w:lang w:val="ru-RU"/>
        </w:rPr>
        <w:t xml:space="preserve"> з порядком, </w:t>
      </w:r>
      <w:proofErr w:type="spellStart"/>
      <w:r w:rsidRPr="00FA2F1D">
        <w:rPr>
          <w:lang w:val="ru-RU"/>
        </w:rPr>
        <w:t>установленим</w:t>
      </w:r>
      <w:proofErr w:type="spellEnd"/>
      <w:r w:rsidRPr="00FA2F1D">
        <w:rPr>
          <w:lang w:val="ru-RU"/>
        </w:rPr>
        <w:t xml:space="preserve"> </w:t>
      </w:r>
      <w:proofErr w:type="spellStart"/>
      <w:r w:rsidRPr="00FA2F1D">
        <w:rPr>
          <w:lang w:val="ru-RU"/>
        </w:rPr>
        <w:t>Положенням</w:t>
      </w:r>
      <w:proofErr w:type="spellEnd"/>
      <w:r w:rsidRPr="00FA2F1D">
        <w:rPr>
          <w:lang w:val="ru-RU"/>
        </w:rPr>
        <w:t xml:space="preserve"> про порядок </w:t>
      </w:r>
      <w:proofErr w:type="spellStart"/>
      <w:r w:rsidRPr="00FA2F1D">
        <w:rPr>
          <w:lang w:val="ru-RU"/>
        </w:rPr>
        <w:t>проведення</w:t>
      </w:r>
      <w:proofErr w:type="spellEnd"/>
      <w:r w:rsidRPr="00FA2F1D">
        <w:rPr>
          <w:lang w:val="ru-RU"/>
        </w:rPr>
        <w:t xml:space="preserve"> </w:t>
      </w:r>
      <w:proofErr w:type="spellStart"/>
      <w:r w:rsidRPr="00FA2F1D">
        <w:rPr>
          <w:lang w:val="ru-RU"/>
        </w:rPr>
        <w:t>перевірок</w:t>
      </w:r>
      <w:proofErr w:type="spellEnd"/>
      <w:r w:rsidRPr="00FA2F1D">
        <w:rPr>
          <w:lang w:val="ru-RU"/>
        </w:rPr>
        <w:t xml:space="preserve"> </w:t>
      </w:r>
      <w:proofErr w:type="spellStart"/>
      <w:r w:rsidRPr="00FA2F1D">
        <w:rPr>
          <w:lang w:val="ru-RU"/>
        </w:rPr>
        <w:t>юридичних</w:t>
      </w:r>
      <w:proofErr w:type="spellEnd"/>
      <w:r w:rsidRPr="00FA2F1D">
        <w:rPr>
          <w:lang w:val="ru-RU"/>
        </w:rPr>
        <w:t xml:space="preserve"> </w:t>
      </w:r>
      <w:proofErr w:type="spellStart"/>
      <w:r w:rsidRPr="00FA2F1D">
        <w:rPr>
          <w:lang w:val="ru-RU"/>
        </w:rPr>
        <w:t>осіб</w:t>
      </w:r>
      <w:proofErr w:type="spellEnd"/>
      <w:r w:rsidRPr="00FA2F1D">
        <w:rPr>
          <w:lang w:val="ru-RU"/>
        </w:rPr>
        <w:t xml:space="preserve">, </w:t>
      </w:r>
      <w:proofErr w:type="spellStart"/>
      <w:r w:rsidRPr="00FA2F1D">
        <w:rPr>
          <w:lang w:val="ru-RU"/>
        </w:rPr>
        <w:t>які</w:t>
      </w:r>
      <w:proofErr w:type="spellEnd"/>
      <w:r w:rsidRPr="00FA2F1D">
        <w:rPr>
          <w:lang w:val="ru-RU"/>
        </w:rPr>
        <w:t xml:space="preserve"> </w:t>
      </w:r>
      <w:proofErr w:type="spellStart"/>
      <w:r w:rsidRPr="00FA2F1D">
        <w:rPr>
          <w:lang w:val="ru-RU"/>
        </w:rPr>
        <w:t>отримали</w:t>
      </w:r>
      <w:proofErr w:type="spellEnd"/>
      <w:r w:rsidRPr="00FA2F1D">
        <w:rPr>
          <w:lang w:val="ru-RU"/>
        </w:rPr>
        <w:t xml:space="preserve"> </w:t>
      </w:r>
      <w:proofErr w:type="spellStart"/>
      <w:r w:rsidRPr="00FA2F1D">
        <w:rPr>
          <w:lang w:val="ru-RU"/>
        </w:rPr>
        <w:t>ліцензію</w:t>
      </w:r>
      <w:proofErr w:type="spellEnd"/>
      <w:r w:rsidRPr="00FA2F1D">
        <w:rPr>
          <w:lang w:val="ru-RU"/>
        </w:rPr>
        <w:t xml:space="preserve"> </w:t>
      </w:r>
      <w:proofErr w:type="spellStart"/>
      <w:r w:rsidRPr="00FA2F1D">
        <w:rPr>
          <w:lang w:val="ru-RU"/>
        </w:rPr>
        <w:t>Національного</w:t>
      </w:r>
      <w:proofErr w:type="spellEnd"/>
      <w:r w:rsidRPr="00FA2F1D">
        <w:rPr>
          <w:lang w:val="ru-RU"/>
        </w:rPr>
        <w:t xml:space="preserve"> банку </w:t>
      </w:r>
      <w:proofErr w:type="spellStart"/>
      <w:r w:rsidRPr="00FA2F1D">
        <w:rPr>
          <w:lang w:val="ru-RU"/>
        </w:rPr>
        <w:t>України</w:t>
      </w:r>
      <w:proofErr w:type="spellEnd"/>
      <w:r w:rsidRPr="00FA2F1D">
        <w:rPr>
          <w:lang w:val="ru-RU"/>
        </w:rPr>
        <w:t xml:space="preserve"> на </w:t>
      </w:r>
      <w:proofErr w:type="spellStart"/>
      <w:r w:rsidRPr="00FA2F1D">
        <w:rPr>
          <w:lang w:val="ru-RU"/>
        </w:rPr>
        <w:t>надання</w:t>
      </w:r>
      <w:proofErr w:type="spellEnd"/>
      <w:r w:rsidRPr="00FA2F1D">
        <w:rPr>
          <w:lang w:val="ru-RU"/>
        </w:rPr>
        <w:t xml:space="preserve"> банкам </w:t>
      </w:r>
      <w:proofErr w:type="spellStart"/>
      <w:r w:rsidRPr="00FA2F1D">
        <w:rPr>
          <w:lang w:val="ru-RU"/>
        </w:rPr>
        <w:t>послуг</w:t>
      </w:r>
      <w:proofErr w:type="spellEnd"/>
      <w:r w:rsidRPr="00FA2F1D">
        <w:rPr>
          <w:lang w:val="ru-RU"/>
        </w:rPr>
        <w:t xml:space="preserve"> з </w:t>
      </w:r>
      <w:proofErr w:type="spellStart"/>
      <w:r w:rsidRPr="00FA2F1D">
        <w:rPr>
          <w:lang w:val="ru-RU"/>
        </w:rPr>
        <w:t>інкасації</w:t>
      </w:r>
      <w:proofErr w:type="spellEnd"/>
      <w:r w:rsidRPr="00FA2F1D">
        <w:rPr>
          <w:lang w:val="ru-RU"/>
        </w:rPr>
        <w:t xml:space="preserve">, </w:t>
      </w:r>
      <w:proofErr w:type="spellStart"/>
      <w:r w:rsidRPr="00FA2F1D">
        <w:rPr>
          <w:lang w:val="ru-RU"/>
        </w:rPr>
        <w:t>затвердженим</w:t>
      </w:r>
      <w:proofErr w:type="spellEnd"/>
      <w:r w:rsidRPr="00FA2F1D">
        <w:rPr>
          <w:lang w:val="ru-RU"/>
        </w:rPr>
        <w:t xml:space="preserve"> </w:t>
      </w:r>
      <w:proofErr w:type="spellStart"/>
      <w:r w:rsidRPr="00FA2F1D">
        <w:rPr>
          <w:lang w:val="ru-RU"/>
        </w:rPr>
        <w:t>постановою</w:t>
      </w:r>
      <w:proofErr w:type="spellEnd"/>
      <w:r w:rsidRPr="00FA2F1D">
        <w:rPr>
          <w:lang w:val="ru-RU"/>
        </w:rPr>
        <w:t xml:space="preserve"> </w:t>
      </w:r>
      <w:proofErr w:type="spellStart"/>
      <w:r w:rsidRPr="00FA2F1D">
        <w:rPr>
          <w:lang w:val="ru-RU"/>
        </w:rPr>
        <w:t>Правління</w:t>
      </w:r>
      <w:proofErr w:type="spellEnd"/>
      <w:r w:rsidRPr="00FA2F1D">
        <w:rPr>
          <w:lang w:val="ru-RU"/>
        </w:rPr>
        <w:t xml:space="preserve"> </w:t>
      </w:r>
      <w:proofErr w:type="spellStart"/>
      <w:r w:rsidRPr="00FA2F1D">
        <w:rPr>
          <w:lang w:val="ru-RU"/>
        </w:rPr>
        <w:t>Національного</w:t>
      </w:r>
      <w:proofErr w:type="spellEnd"/>
      <w:r w:rsidRPr="00FA2F1D">
        <w:rPr>
          <w:lang w:val="ru-RU"/>
        </w:rPr>
        <w:t xml:space="preserve"> банку </w:t>
      </w:r>
      <w:proofErr w:type="spellStart"/>
      <w:r w:rsidRPr="00FA2F1D">
        <w:rPr>
          <w:lang w:val="ru-RU"/>
        </w:rPr>
        <w:t>України</w:t>
      </w:r>
      <w:proofErr w:type="spellEnd"/>
      <w:r w:rsidRPr="00FA2F1D">
        <w:rPr>
          <w:lang w:val="ru-RU"/>
        </w:rPr>
        <w:t xml:space="preserve"> </w:t>
      </w:r>
      <w:proofErr w:type="spellStart"/>
      <w:r w:rsidRPr="00FA2F1D">
        <w:rPr>
          <w:lang w:val="ru-RU"/>
        </w:rPr>
        <w:t>від</w:t>
      </w:r>
      <w:proofErr w:type="spellEnd"/>
      <w:r w:rsidRPr="00FA2F1D">
        <w:rPr>
          <w:lang w:val="ru-RU"/>
        </w:rPr>
        <w:t xml:space="preserve"> 05 </w:t>
      </w:r>
      <w:proofErr w:type="spellStart"/>
      <w:r w:rsidRPr="00FA2F1D">
        <w:rPr>
          <w:lang w:val="ru-RU"/>
        </w:rPr>
        <w:t>липня</w:t>
      </w:r>
      <w:proofErr w:type="spellEnd"/>
      <w:r w:rsidRPr="00FA2F1D">
        <w:rPr>
          <w:lang w:val="ru-RU"/>
        </w:rPr>
        <w:t xml:space="preserve"> 2017 року № 60 (</w:t>
      </w:r>
      <w:proofErr w:type="spellStart"/>
      <w:r w:rsidRPr="00FA2F1D">
        <w:rPr>
          <w:lang w:val="ru-RU"/>
        </w:rPr>
        <w:t>зі</w:t>
      </w:r>
      <w:proofErr w:type="spellEnd"/>
      <w:r w:rsidRPr="00FA2F1D">
        <w:rPr>
          <w:lang w:val="ru-RU"/>
        </w:rPr>
        <w:t xml:space="preserve"> </w:t>
      </w:r>
      <w:proofErr w:type="spellStart"/>
      <w:r w:rsidRPr="00FA2F1D">
        <w:rPr>
          <w:lang w:val="ru-RU"/>
        </w:rPr>
        <w:t>змінами</w:t>
      </w:r>
      <w:proofErr w:type="spellEnd"/>
      <w:r w:rsidRPr="00FA2F1D">
        <w:rPr>
          <w:lang w:val="ru-RU"/>
        </w:rPr>
        <w:t>)</w:t>
      </w:r>
      <w:r w:rsidR="00077FFA">
        <w:rPr>
          <w:lang w:val="ru-RU"/>
        </w:rPr>
        <w:t>,</w:t>
      </w:r>
      <w:r w:rsidRPr="00FA2F1D">
        <w:rPr>
          <w:lang w:val="ru-RU"/>
        </w:rPr>
        <w:t xml:space="preserve"> та Правилами </w:t>
      </w:r>
      <w:proofErr w:type="spellStart"/>
      <w:r w:rsidRPr="00FA2F1D">
        <w:rPr>
          <w:lang w:val="ru-RU"/>
        </w:rPr>
        <w:t>перевірки</w:t>
      </w:r>
      <w:proofErr w:type="spellEnd"/>
      <w:r w:rsidRPr="00FA2F1D">
        <w:rPr>
          <w:lang w:val="ru-RU"/>
        </w:rPr>
        <w:t xml:space="preserve"> за </w:t>
      </w:r>
      <w:proofErr w:type="spellStart"/>
      <w:r w:rsidRPr="00FA2F1D">
        <w:rPr>
          <w:lang w:val="ru-RU"/>
        </w:rPr>
        <w:t>дотриманням</w:t>
      </w:r>
      <w:proofErr w:type="spellEnd"/>
      <w:r w:rsidRPr="00FA2F1D">
        <w:rPr>
          <w:lang w:val="ru-RU"/>
        </w:rPr>
        <w:t xml:space="preserve"> </w:t>
      </w:r>
      <w:proofErr w:type="spellStart"/>
      <w:r w:rsidRPr="00FA2F1D">
        <w:rPr>
          <w:lang w:val="ru-RU"/>
        </w:rPr>
        <w:t>юридичною</w:t>
      </w:r>
      <w:proofErr w:type="spellEnd"/>
      <w:r w:rsidRPr="00FA2F1D">
        <w:rPr>
          <w:lang w:val="ru-RU"/>
        </w:rPr>
        <w:t xml:space="preserve"> особою </w:t>
      </w:r>
      <w:proofErr w:type="spellStart"/>
      <w:r w:rsidRPr="00FA2F1D">
        <w:rPr>
          <w:lang w:val="ru-RU"/>
        </w:rPr>
        <w:t>вимог</w:t>
      </w:r>
      <w:proofErr w:type="spellEnd"/>
      <w:r w:rsidRPr="00FA2F1D">
        <w:rPr>
          <w:lang w:val="ru-RU"/>
        </w:rPr>
        <w:t xml:space="preserve"> </w:t>
      </w:r>
      <w:proofErr w:type="spellStart"/>
      <w:r w:rsidRPr="00FA2F1D">
        <w:rPr>
          <w:lang w:val="ru-RU"/>
        </w:rPr>
        <w:t>щодо</w:t>
      </w:r>
      <w:proofErr w:type="spellEnd"/>
      <w:r w:rsidRPr="00FA2F1D">
        <w:rPr>
          <w:lang w:val="ru-RU"/>
        </w:rPr>
        <w:t xml:space="preserve"> </w:t>
      </w:r>
      <w:proofErr w:type="spellStart"/>
      <w:r w:rsidRPr="00FA2F1D">
        <w:rPr>
          <w:lang w:val="ru-RU"/>
        </w:rPr>
        <w:t>приймання</w:t>
      </w:r>
      <w:proofErr w:type="spellEnd"/>
      <w:r w:rsidRPr="00FA2F1D">
        <w:rPr>
          <w:lang w:val="ru-RU"/>
        </w:rPr>
        <w:t xml:space="preserve">, </w:t>
      </w:r>
      <w:proofErr w:type="spellStart"/>
      <w:r w:rsidRPr="00FA2F1D">
        <w:rPr>
          <w:lang w:val="ru-RU"/>
        </w:rPr>
        <w:t>зберігання</w:t>
      </w:r>
      <w:proofErr w:type="spellEnd"/>
      <w:r w:rsidRPr="00FA2F1D">
        <w:rPr>
          <w:lang w:val="ru-RU"/>
        </w:rPr>
        <w:t xml:space="preserve"> та </w:t>
      </w:r>
      <w:proofErr w:type="spellStart"/>
      <w:r w:rsidRPr="00FA2F1D">
        <w:rPr>
          <w:lang w:val="ru-RU"/>
        </w:rPr>
        <w:t>оброблення</w:t>
      </w:r>
      <w:proofErr w:type="spellEnd"/>
      <w:r w:rsidRPr="00FA2F1D">
        <w:rPr>
          <w:lang w:val="ru-RU"/>
        </w:rPr>
        <w:t xml:space="preserve"> </w:t>
      </w:r>
      <w:proofErr w:type="spellStart"/>
      <w:r w:rsidRPr="00FA2F1D">
        <w:rPr>
          <w:lang w:val="ru-RU"/>
        </w:rPr>
        <w:t>готівки</w:t>
      </w:r>
      <w:proofErr w:type="spellEnd"/>
      <w:r w:rsidRPr="00FA2F1D">
        <w:rPr>
          <w:lang w:val="ru-RU"/>
        </w:rPr>
        <w:t xml:space="preserve">, </w:t>
      </w:r>
      <w:proofErr w:type="spellStart"/>
      <w:r w:rsidRPr="00FA2F1D">
        <w:rPr>
          <w:lang w:val="ru-RU"/>
        </w:rPr>
        <w:t>затвердженими</w:t>
      </w:r>
      <w:proofErr w:type="spellEnd"/>
      <w:r w:rsidRPr="00FA2F1D">
        <w:rPr>
          <w:lang w:val="ru-RU"/>
        </w:rPr>
        <w:t xml:space="preserve"> </w:t>
      </w:r>
      <w:proofErr w:type="spellStart"/>
      <w:r w:rsidRPr="00FA2F1D">
        <w:rPr>
          <w:lang w:val="ru-RU"/>
        </w:rPr>
        <w:t>постановою</w:t>
      </w:r>
      <w:proofErr w:type="spellEnd"/>
      <w:r w:rsidRPr="00FA2F1D">
        <w:rPr>
          <w:lang w:val="ru-RU"/>
        </w:rPr>
        <w:t xml:space="preserve"> </w:t>
      </w:r>
      <w:proofErr w:type="spellStart"/>
      <w:r w:rsidRPr="00FA2F1D">
        <w:rPr>
          <w:lang w:val="ru-RU"/>
        </w:rPr>
        <w:t>Правління</w:t>
      </w:r>
      <w:proofErr w:type="spellEnd"/>
      <w:r w:rsidRPr="00FA2F1D">
        <w:rPr>
          <w:lang w:val="ru-RU"/>
        </w:rPr>
        <w:t xml:space="preserve"> </w:t>
      </w:r>
      <w:proofErr w:type="spellStart"/>
      <w:r w:rsidRPr="00FA2F1D">
        <w:rPr>
          <w:lang w:val="ru-RU"/>
        </w:rPr>
        <w:t>Національного</w:t>
      </w:r>
      <w:proofErr w:type="spellEnd"/>
      <w:r w:rsidRPr="00FA2F1D">
        <w:rPr>
          <w:lang w:val="ru-RU"/>
        </w:rPr>
        <w:t xml:space="preserve"> банку </w:t>
      </w:r>
      <w:proofErr w:type="spellStart"/>
      <w:r w:rsidRPr="00FA2F1D">
        <w:rPr>
          <w:lang w:val="ru-RU"/>
        </w:rPr>
        <w:t>України</w:t>
      </w:r>
      <w:proofErr w:type="spellEnd"/>
      <w:r w:rsidRPr="00FA2F1D">
        <w:rPr>
          <w:lang w:val="ru-RU"/>
        </w:rPr>
        <w:t xml:space="preserve"> </w:t>
      </w:r>
      <w:proofErr w:type="spellStart"/>
      <w:r w:rsidRPr="00FA2F1D">
        <w:rPr>
          <w:lang w:val="ru-RU"/>
        </w:rPr>
        <w:t>від</w:t>
      </w:r>
      <w:proofErr w:type="spellEnd"/>
      <w:r w:rsidRPr="00FA2F1D">
        <w:rPr>
          <w:lang w:val="ru-RU"/>
        </w:rPr>
        <w:t xml:space="preserve"> 26</w:t>
      </w:r>
      <w:r w:rsidR="004701DD">
        <w:rPr>
          <w:lang w:val="ru-RU"/>
        </w:rPr>
        <w:t> </w:t>
      </w:r>
      <w:proofErr w:type="spellStart"/>
      <w:r w:rsidRPr="00FA2F1D">
        <w:rPr>
          <w:lang w:val="ru-RU"/>
        </w:rPr>
        <w:t>березня</w:t>
      </w:r>
      <w:proofErr w:type="spellEnd"/>
      <w:r w:rsidRPr="00FA2F1D">
        <w:rPr>
          <w:lang w:val="ru-RU"/>
        </w:rPr>
        <w:t xml:space="preserve"> 2020 року № 40.”.</w:t>
      </w:r>
    </w:p>
    <w:p w14:paraId="1F9576CA" w14:textId="3FC9CBC2" w:rsidR="000138DC" w:rsidRPr="00FA2F1D" w:rsidRDefault="000138DC" w:rsidP="00FA2F1D">
      <w:pPr>
        <w:ind w:firstLine="709"/>
        <w:jc w:val="left"/>
      </w:pPr>
    </w:p>
    <w:sectPr w:rsidR="000138DC" w:rsidRPr="00FA2F1D" w:rsidSect="0007439F">
      <w:headerReference w:type="default" r:id="rId16"/>
      <w:pgSz w:w="11907" w:h="16839" w:code="9"/>
      <w:pgMar w:top="567" w:right="567" w:bottom="1701" w:left="1701" w:header="283" w:footer="709" w:gutter="0"/>
      <w:pgNumType w:start="1" w:chapSep="period"/>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E0B51" w14:textId="77777777" w:rsidR="00DE4D07" w:rsidRDefault="00DE4D07" w:rsidP="00E53CCD">
      <w:r>
        <w:separator/>
      </w:r>
    </w:p>
  </w:endnote>
  <w:endnote w:type="continuationSeparator" w:id="0">
    <w:p w14:paraId="48BE4E0F" w14:textId="77777777" w:rsidR="00DE4D07" w:rsidRDefault="00DE4D07"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58B0" w14:textId="77777777"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6B4BA" w14:textId="77777777" w:rsidR="00DE4D07" w:rsidRDefault="00DE4D07" w:rsidP="00E53CCD">
      <w:r>
        <w:separator/>
      </w:r>
    </w:p>
  </w:footnote>
  <w:footnote w:type="continuationSeparator" w:id="0">
    <w:p w14:paraId="13D733D8" w14:textId="77777777" w:rsidR="00DE4D07" w:rsidRDefault="00DE4D07"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2B2F6D1" w14:textId="368D570F" w:rsidR="00460BA2" w:rsidRDefault="00FE0B90">
        <w:pPr>
          <w:pStyle w:val="a5"/>
          <w:jc w:val="center"/>
        </w:pPr>
        <w:r>
          <w:fldChar w:fldCharType="begin"/>
        </w:r>
        <w:r w:rsidR="00460BA2">
          <w:instrText xml:space="preserve"> PAGE   \* MERGEFORMAT </w:instrText>
        </w:r>
        <w:r>
          <w:fldChar w:fldCharType="separate"/>
        </w:r>
        <w:r w:rsidR="006757A6">
          <w:rPr>
            <w:noProof/>
          </w:rPr>
          <w:t>4</w:t>
        </w:r>
        <w:r>
          <w:fldChar w:fldCharType="end"/>
        </w:r>
      </w:p>
    </w:sdtContent>
  </w:sdt>
  <w:p w14:paraId="32B2F6D2" w14:textId="77777777"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023567"/>
      <w:docPartObj>
        <w:docPartGallery w:val="Page Numbers (Top of Page)"/>
        <w:docPartUnique/>
      </w:docPartObj>
    </w:sdtPr>
    <w:sdtEndPr/>
    <w:sdtContent>
      <w:p w14:paraId="005A1131" w14:textId="68873FF0" w:rsidR="00B3256F" w:rsidRDefault="00C34D02">
        <w:pPr>
          <w:pStyle w:val="a5"/>
          <w:jc w:val="center"/>
        </w:pPr>
        <w:r>
          <w:fldChar w:fldCharType="begin"/>
        </w:r>
        <w:r>
          <w:instrText>PAGE   \* MERGEFORMAT</w:instrText>
        </w:r>
        <w:r>
          <w:fldChar w:fldCharType="separate"/>
        </w:r>
        <w:r w:rsidR="00923F7D" w:rsidRPr="00923F7D">
          <w:rPr>
            <w:noProof/>
            <w:lang w:val="ru-RU"/>
          </w:rPr>
          <w:t>4</w:t>
        </w:r>
        <w:r>
          <w:fldChar w:fldCharType="end"/>
        </w:r>
      </w:p>
    </w:sdtContent>
  </w:sdt>
  <w:p w14:paraId="1A522446" w14:textId="77777777" w:rsidR="00B3256F" w:rsidRDefault="00923F7D" w:rsidP="00FA2F1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172766E1"/>
    <w:multiLevelType w:val="hybridMultilevel"/>
    <w:tmpl w:val="E2BCFF20"/>
    <w:lvl w:ilvl="0" w:tplc="44E0B7E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38DC"/>
    <w:rsid w:val="00015CF3"/>
    <w:rsid w:val="00015FDE"/>
    <w:rsid w:val="0003331E"/>
    <w:rsid w:val="000342A5"/>
    <w:rsid w:val="0003793C"/>
    <w:rsid w:val="000543C6"/>
    <w:rsid w:val="000600A8"/>
    <w:rsid w:val="00061C52"/>
    <w:rsid w:val="00063480"/>
    <w:rsid w:val="000638F2"/>
    <w:rsid w:val="0007439F"/>
    <w:rsid w:val="00077FFA"/>
    <w:rsid w:val="000A7EF5"/>
    <w:rsid w:val="000B0D11"/>
    <w:rsid w:val="000B2990"/>
    <w:rsid w:val="000D1979"/>
    <w:rsid w:val="000D3E1E"/>
    <w:rsid w:val="000D778F"/>
    <w:rsid w:val="000E0CB3"/>
    <w:rsid w:val="000E5B8C"/>
    <w:rsid w:val="000E7A13"/>
    <w:rsid w:val="00106229"/>
    <w:rsid w:val="00115ECF"/>
    <w:rsid w:val="00121FFF"/>
    <w:rsid w:val="00140225"/>
    <w:rsid w:val="00150753"/>
    <w:rsid w:val="00151167"/>
    <w:rsid w:val="001543E7"/>
    <w:rsid w:val="001631E2"/>
    <w:rsid w:val="001716B0"/>
    <w:rsid w:val="001740C0"/>
    <w:rsid w:val="00190E1A"/>
    <w:rsid w:val="001A0EE5"/>
    <w:rsid w:val="001A16FA"/>
    <w:rsid w:val="001A4CB9"/>
    <w:rsid w:val="001A6795"/>
    <w:rsid w:val="001C206C"/>
    <w:rsid w:val="001D487A"/>
    <w:rsid w:val="001F28C4"/>
    <w:rsid w:val="002238D1"/>
    <w:rsid w:val="00233F37"/>
    <w:rsid w:val="00241373"/>
    <w:rsid w:val="00242080"/>
    <w:rsid w:val="002427B4"/>
    <w:rsid w:val="00253BF9"/>
    <w:rsid w:val="0025455E"/>
    <w:rsid w:val="00264983"/>
    <w:rsid w:val="00266678"/>
    <w:rsid w:val="002677CD"/>
    <w:rsid w:val="00270811"/>
    <w:rsid w:val="00272730"/>
    <w:rsid w:val="00276988"/>
    <w:rsid w:val="00280DCC"/>
    <w:rsid w:val="00285DDA"/>
    <w:rsid w:val="00290169"/>
    <w:rsid w:val="002A2391"/>
    <w:rsid w:val="002A43E7"/>
    <w:rsid w:val="002B351E"/>
    <w:rsid w:val="002B3F71"/>
    <w:rsid w:val="002B582B"/>
    <w:rsid w:val="002C01D9"/>
    <w:rsid w:val="002C1FDB"/>
    <w:rsid w:val="002D1790"/>
    <w:rsid w:val="002F48EF"/>
    <w:rsid w:val="00332701"/>
    <w:rsid w:val="00340D07"/>
    <w:rsid w:val="00345982"/>
    <w:rsid w:val="00356E34"/>
    <w:rsid w:val="00357676"/>
    <w:rsid w:val="0038385E"/>
    <w:rsid w:val="00384F65"/>
    <w:rsid w:val="0039725C"/>
    <w:rsid w:val="003A16E7"/>
    <w:rsid w:val="003A751F"/>
    <w:rsid w:val="003C10F1"/>
    <w:rsid w:val="003C3282"/>
    <w:rsid w:val="003C3985"/>
    <w:rsid w:val="003D6B33"/>
    <w:rsid w:val="003F0441"/>
    <w:rsid w:val="003F28B5"/>
    <w:rsid w:val="003F7093"/>
    <w:rsid w:val="00401EDB"/>
    <w:rsid w:val="00404C93"/>
    <w:rsid w:val="00407877"/>
    <w:rsid w:val="004130B9"/>
    <w:rsid w:val="00445D78"/>
    <w:rsid w:val="00446704"/>
    <w:rsid w:val="00450B21"/>
    <w:rsid w:val="00455B45"/>
    <w:rsid w:val="00460BA2"/>
    <w:rsid w:val="004666D6"/>
    <w:rsid w:val="004701DD"/>
    <w:rsid w:val="0047573D"/>
    <w:rsid w:val="004A1A1B"/>
    <w:rsid w:val="004A1CFC"/>
    <w:rsid w:val="004A7F75"/>
    <w:rsid w:val="004B1FE9"/>
    <w:rsid w:val="004B5574"/>
    <w:rsid w:val="004D2B57"/>
    <w:rsid w:val="004E22E2"/>
    <w:rsid w:val="004F45CD"/>
    <w:rsid w:val="0050563F"/>
    <w:rsid w:val="005212A1"/>
    <w:rsid w:val="005212C5"/>
    <w:rsid w:val="00523C13"/>
    <w:rsid w:val="00524F07"/>
    <w:rsid w:val="005257C2"/>
    <w:rsid w:val="00532633"/>
    <w:rsid w:val="005403F1"/>
    <w:rsid w:val="00542533"/>
    <w:rsid w:val="005573FD"/>
    <w:rsid w:val="005624B6"/>
    <w:rsid w:val="00562C46"/>
    <w:rsid w:val="0057237F"/>
    <w:rsid w:val="00577402"/>
    <w:rsid w:val="005822CB"/>
    <w:rsid w:val="00597AB6"/>
    <w:rsid w:val="005A0F4B"/>
    <w:rsid w:val="005A1D3C"/>
    <w:rsid w:val="005A3F34"/>
    <w:rsid w:val="005A4CCC"/>
    <w:rsid w:val="005B2D03"/>
    <w:rsid w:val="005C2D66"/>
    <w:rsid w:val="005C5CBF"/>
    <w:rsid w:val="005D3B88"/>
    <w:rsid w:val="005D45F5"/>
    <w:rsid w:val="005E3FA8"/>
    <w:rsid w:val="005F4CB4"/>
    <w:rsid w:val="005F6B35"/>
    <w:rsid w:val="00613AFF"/>
    <w:rsid w:val="00614D20"/>
    <w:rsid w:val="00623AF6"/>
    <w:rsid w:val="00640612"/>
    <w:rsid w:val="0064227D"/>
    <w:rsid w:val="0065179F"/>
    <w:rsid w:val="00657593"/>
    <w:rsid w:val="00667CB0"/>
    <w:rsid w:val="00670C95"/>
    <w:rsid w:val="006757A6"/>
    <w:rsid w:val="006868D6"/>
    <w:rsid w:val="006925CE"/>
    <w:rsid w:val="00692C8C"/>
    <w:rsid w:val="006B2748"/>
    <w:rsid w:val="006B465F"/>
    <w:rsid w:val="006C06A1"/>
    <w:rsid w:val="006C0F22"/>
    <w:rsid w:val="006C13B1"/>
    <w:rsid w:val="006C4176"/>
    <w:rsid w:val="006C5BA7"/>
    <w:rsid w:val="006C66EF"/>
    <w:rsid w:val="006D2617"/>
    <w:rsid w:val="00700AA3"/>
    <w:rsid w:val="00702C36"/>
    <w:rsid w:val="007142BA"/>
    <w:rsid w:val="00714823"/>
    <w:rsid w:val="00717197"/>
    <w:rsid w:val="0071789F"/>
    <w:rsid w:val="00730088"/>
    <w:rsid w:val="007303FD"/>
    <w:rsid w:val="00747222"/>
    <w:rsid w:val="00750898"/>
    <w:rsid w:val="00756A2C"/>
    <w:rsid w:val="0076356A"/>
    <w:rsid w:val="00773559"/>
    <w:rsid w:val="007766CA"/>
    <w:rsid w:val="0078127A"/>
    <w:rsid w:val="00783AF2"/>
    <w:rsid w:val="00787E46"/>
    <w:rsid w:val="007A21C3"/>
    <w:rsid w:val="007A6609"/>
    <w:rsid w:val="007B7B73"/>
    <w:rsid w:val="007C2CED"/>
    <w:rsid w:val="007F16F3"/>
    <w:rsid w:val="00802988"/>
    <w:rsid w:val="008274C0"/>
    <w:rsid w:val="0083232C"/>
    <w:rsid w:val="008415A0"/>
    <w:rsid w:val="0085364B"/>
    <w:rsid w:val="00866993"/>
    <w:rsid w:val="00874366"/>
    <w:rsid w:val="00875F11"/>
    <w:rsid w:val="008762D8"/>
    <w:rsid w:val="00892F1B"/>
    <w:rsid w:val="00897035"/>
    <w:rsid w:val="008B1589"/>
    <w:rsid w:val="008B5CF2"/>
    <w:rsid w:val="008B74DD"/>
    <w:rsid w:val="008C7252"/>
    <w:rsid w:val="008C72B5"/>
    <w:rsid w:val="008D10FD"/>
    <w:rsid w:val="008D122F"/>
    <w:rsid w:val="008D5F60"/>
    <w:rsid w:val="008D727F"/>
    <w:rsid w:val="008F0210"/>
    <w:rsid w:val="008F2600"/>
    <w:rsid w:val="008F5D52"/>
    <w:rsid w:val="00904F17"/>
    <w:rsid w:val="0092053B"/>
    <w:rsid w:val="00922966"/>
    <w:rsid w:val="00923F7D"/>
    <w:rsid w:val="0092710A"/>
    <w:rsid w:val="00937AE3"/>
    <w:rsid w:val="00937D24"/>
    <w:rsid w:val="00943175"/>
    <w:rsid w:val="0095741D"/>
    <w:rsid w:val="0097288F"/>
    <w:rsid w:val="0098207E"/>
    <w:rsid w:val="00990AAE"/>
    <w:rsid w:val="009B288F"/>
    <w:rsid w:val="009B6120"/>
    <w:rsid w:val="009B75ED"/>
    <w:rsid w:val="009C2F76"/>
    <w:rsid w:val="009E59C2"/>
    <w:rsid w:val="009F5312"/>
    <w:rsid w:val="00A02655"/>
    <w:rsid w:val="00A02AEC"/>
    <w:rsid w:val="00A0594A"/>
    <w:rsid w:val="00A12C47"/>
    <w:rsid w:val="00A23E04"/>
    <w:rsid w:val="00A24917"/>
    <w:rsid w:val="00A34191"/>
    <w:rsid w:val="00A35027"/>
    <w:rsid w:val="00A44AAC"/>
    <w:rsid w:val="00A46C15"/>
    <w:rsid w:val="00A50DC0"/>
    <w:rsid w:val="00A63695"/>
    <w:rsid w:val="00A72F06"/>
    <w:rsid w:val="00A730F2"/>
    <w:rsid w:val="00A77FFD"/>
    <w:rsid w:val="00A81D82"/>
    <w:rsid w:val="00A93BC4"/>
    <w:rsid w:val="00AB4554"/>
    <w:rsid w:val="00AC47B6"/>
    <w:rsid w:val="00AD2E8B"/>
    <w:rsid w:val="00AD7DF9"/>
    <w:rsid w:val="00AE29BB"/>
    <w:rsid w:val="00AE2CAF"/>
    <w:rsid w:val="00AF33D9"/>
    <w:rsid w:val="00B002E4"/>
    <w:rsid w:val="00B05C63"/>
    <w:rsid w:val="00B10DF6"/>
    <w:rsid w:val="00B3100C"/>
    <w:rsid w:val="00B332B2"/>
    <w:rsid w:val="00B34CCC"/>
    <w:rsid w:val="00B36EC7"/>
    <w:rsid w:val="00B36EDD"/>
    <w:rsid w:val="00B61C97"/>
    <w:rsid w:val="00B628C5"/>
    <w:rsid w:val="00B71933"/>
    <w:rsid w:val="00B8078D"/>
    <w:rsid w:val="00BC4810"/>
    <w:rsid w:val="00BD12A3"/>
    <w:rsid w:val="00BD6D34"/>
    <w:rsid w:val="00BD7F6E"/>
    <w:rsid w:val="00BE15DB"/>
    <w:rsid w:val="00BF47B0"/>
    <w:rsid w:val="00BF5327"/>
    <w:rsid w:val="00BF6D28"/>
    <w:rsid w:val="00C146D0"/>
    <w:rsid w:val="00C21D33"/>
    <w:rsid w:val="00C23F95"/>
    <w:rsid w:val="00C3382F"/>
    <w:rsid w:val="00C34D02"/>
    <w:rsid w:val="00C4377C"/>
    <w:rsid w:val="00C47F0F"/>
    <w:rsid w:val="00C51D84"/>
    <w:rsid w:val="00C52506"/>
    <w:rsid w:val="00C560B6"/>
    <w:rsid w:val="00C82259"/>
    <w:rsid w:val="00C9297C"/>
    <w:rsid w:val="00C94014"/>
    <w:rsid w:val="00CB0A99"/>
    <w:rsid w:val="00CB5A09"/>
    <w:rsid w:val="00CC5982"/>
    <w:rsid w:val="00CD0CD4"/>
    <w:rsid w:val="00CE3B9F"/>
    <w:rsid w:val="00CF1FB8"/>
    <w:rsid w:val="00CF2C65"/>
    <w:rsid w:val="00D078B6"/>
    <w:rsid w:val="00D1022C"/>
    <w:rsid w:val="00D17387"/>
    <w:rsid w:val="00D27115"/>
    <w:rsid w:val="00D34928"/>
    <w:rsid w:val="00D34DCC"/>
    <w:rsid w:val="00D53474"/>
    <w:rsid w:val="00D61D9B"/>
    <w:rsid w:val="00DA2F09"/>
    <w:rsid w:val="00DC1E60"/>
    <w:rsid w:val="00DD60CC"/>
    <w:rsid w:val="00DE1BC8"/>
    <w:rsid w:val="00DE4D07"/>
    <w:rsid w:val="00DF4D12"/>
    <w:rsid w:val="00E10AE2"/>
    <w:rsid w:val="00E10F0A"/>
    <w:rsid w:val="00E21875"/>
    <w:rsid w:val="00E25407"/>
    <w:rsid w:val="00E32599"/>
    <w:rsid w:val="00E33B0E"/>
    <w:rsid w:val="00E362EA"/>
    <w:rsid w:val="00E423E0"/>
    <w:rsid w:val="00E42621"/>
    <w:rsid w:val="00E446A6"/>
    <w:rsid w:val="00E53CB5"/>
    <w:rsid w:val="00E53CCD"/>
    <w:rsid w:val="00E62607"/>
    <w:rsid w:val="00E62FC8"/>
    <w:rsid w:val="00E71855"/>
    <w:rsid w:val="00E719A9"/>
    <w:rsid w:val="00EA1DE4"/>
    <w:rsid w:val="00EA60EA"/>
    <w:rsid w:val="00EB29BF"/>
    <w:rsid w:val="00EC7C7F"/>
    <w:rsid w:val="00EE1B30"/>
    <w:rsid w:val="00EE1E02"/>
    <w:rsid w:val="00EF4B42"/>
    <w:rsid w:val="00F003D3"/>
    <w:rsid w:val="00F008AB"/>
    <w:rsid w:val="00F03E32"/>
    <w:rsid w:val="00F17115"/>
    <w:rsid w:val="00F42289"/>
    <w:rsid w:val="00F42E75"/>
    <w:rsid w:val="00F43D19"/>
    <w:rsid w:val="00F44845"/>
    <w:rsid w:val="00F45D65"/>
    <w:rsid w:val="00F517FA"/>
    <w:rsid w:val="00F52D16"/>
    <w:rsid w:val="00F54C03"/>
    <w:rsid w:val="00F62D67"/>
    <w:rsid w:val="00F63BD9"/>
    <w:rsid w:val="00F6694C"/>
    <w:rsid w:val="00F67609"/>
    <w:rsid w:val="00F73828"/>
    <w:rsid w:val="00F8145F"/>
    <w:rsid w:val="00F9283D"/>
    <w:rsid w:val="00F96F18"/>
    <w:rsid w:val="00FA2F1D"/>
    <w:rsid w:val="00FA508E"/>
    <w:rsid w:val="00FA5320"/>
    <w:rsid w:val="00FA7846"/>
    <w:rsid w:val="00FC0BA7"/>
    <w:rsid w:val="00FC26E5"/>
    <w:rsid w:val="00FD19F1"/>
    <w:rsid w:val="00FD370F"/>
    <w:rsid w:val="00FE0B90"/>
    <w:rsid w:val="00FF1054"/>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B2F6A4"/>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styleId="af4">
    <w:name w:val="annotation reference"/>
    <w:basedOn w:val="a0"/>
    <w:uiPriority w:val="99"/>
    <w:semiHidden/>
    <w:unhideWhenUsed/>
    <w:rsid w:val="00150753"/>
    <w:rPr>
      <w:sz w:val="16"/>
      <w:szCs w:val="16"/>
    </w:rPr>
  </w:style>
  <w:style w:type="paragraph" w:styleId="af5">
    <w:name w:val="annotation text"/>
    <w:basedOn w:val="a"/>
    <w:link w:val="af6"/>
    <w:uiPriority w:val="99"/>
    <w:semiHidden/>
    <w:unhideWhenUsed/>
    <w:rsid w:val="00150753"/>
    <w:rPr>
      <w:sz w:val="20"/>
      <w:szCs w:val="20"/>
    </w:rPr>
  </w:style>
  <w:style w:type="character" w:customStyle="1" w:styleId="af6">
    <w:name w:val="Текст примечания Знак"/>
    <w:basedOn w:val="a0"/>
    <w:link w:val="af5"/>
    <w:uiPriority w:val="99"/>
    <w:semiHidden/>
    <w:rsid w:val="00150753"/>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150753"/>
    <w:rPr>
      <w:b/>
      <w:bCs/>
    </w:rPr>
  </w:style>
  <w:style w:type="character" w:customStyle="1" w:styleId="af8">
    <w:name w:val="Тема примечания Знак"/>
    <w:basedOn w:val="af6"/>
    <w:link w:val="af7"/>
    <w:uiPriority w:val="99"/>
    <w:semiHidden/>
    <w:rsid w:val="00150753"/>
    <w:rPr>
      <w:rFonts w:ascii="Times New Roman" w:hAnsi="Times New Roman" w:cs="Times New Roman"/>
      <w:b/>
      <w:bCs/>
      <w:sz w:val="20"/>
      <w:szCs w:val="20"/>
      <w:lang w:eastAsia="uk-UA"/>
    </w:rPr>
  </w:style>
  <w:style w:type="paragraph" w:styleId="af9">
    <w:name w:val="Revision"/>
    <w:hidden/>
    <w:uiPriority w:val="99"/>
    <w:semiHidden/>
    <w:rsid w:val="005573FD"/>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31F57FC-E43C-493F-AA34-36BDC5FE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1351</Words>
  <Characters>9337</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Гость</cp:lastModifiedBy>
  <cp:revision>5</cp:revision>
  <cp:lastPrinted>2021-11-25T08:50:00Z</cp:lastPrinted>
  <dcterms:created xsi:type="dcterms:W3CDTF">2021-12-27T16:53:00Z</dcterms:created>
  <dcterms:modified xsi:type="dcterms:W3CDTF">2021-12-27T17:37:00Z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