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52" w:rsidRDefault="00787452" w:rsidP="00787452">
      <w:pPr>
        <w:jc w:val="right"/>
      </w:pPr>
      <w:r>
        <w:t>Офіційно опубліковано 26</w:t>
      </w:r>
      <w:r>
        <w:t>.</w:t>
      </w:r>
      <w:r>
        <w:rPr>
          <w:lang w:val="en-US"/>
        </w:rPr>
        <w:t>0</w:t>
      </w:r>
      <w:r>
        <w:rPr>
          <w:lang w:val="en-US"/>
        </w:rPr>
        <w:t>4</w:t>
      </w:r>
      <w:r>
        <w:t>.2023</w:t>
      </w:r>
    </w:p>
    <w:p w:rsidR="006070A5" w:rsidRPr="00CD0CD4" w:rsidRDefault="006070A5" w:rsidP="00787452">
      <w:pPr>
        <w:jc w:val="right"/>
        <w:rPr>
          <w:sz w:val="2"/>
          <w:szCs w:val="2"/>
        </w:rPr>
      </w:pPr>
    </w:p>
    <w:p w:rsidR="006070A5" w:rsidRPr="00566BA2" w:rsidRDefault="006070A5" w:rsidP="006070A5">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6070A5" w:rsidTr="0009252C">
        <w:trPr>
          <w:trHeight w:val="851"/>
        </w:trPr>
        <w:tc>
          <w:tcPr>
            <w:tcW w:w="3284" w:type="dxa"/>
          </w:tcPr>
          <w:p w:rsidR="006070A5" w:rsidRDefault="006070A5" w:rsidP="0009252C"/>
        </w:tc>
        <w:tc>
          <w:tcPr>
            <w:tcW w:w="3285" w:type="dxa"/>
            <w:vMerge w:val="restart"/>
          </w:tcPr>
          <w:p w:rsidR="006070A5" w:rsidRDefault="006070A5" w:rsidP="0009252C">
            <w:pPr>
              <w:jc w:val="center"/>
            </w:pPr>
            <w:r>
              <w:object w:dxaOrig="1595" w:dyaOrig="2201" w14:anchorId="6AACF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7.25pt" o:ole="">
                  <v:imagedata r:id="rId12" o:title=""/>
                </v:shape>
                <o:OLEObject Type="Embed" ProgID="CorelDraw.Graphic.16" ShapeID="_x0000_i1025" DrawAspect="Content" ObjectID="_1744007175" r:id="rId13"/>
              </w:object>
            </w:r>
          </w:p>
        </w:tc>
        <w:tc>
          <w:tcPr>
            <w:tcW w:w="3285" w:type="dxa"/>
          </w:tcPr>
          <w:p w:rsidR="006070A5" w:rsidRDefault="006070A5" w:rsidP="0009252C"/>
        </w:tc>
      </w:tr>
      <w:tr w:rsidR="006070A5" w:rsidTr="0009252C">
        <w:tc>
          <w:tcPr>
            <w:tcW w:w="3284" w:type="dxa"/>
          </w:tcPr>
          <w:p w:rsidR="006070A5" w:rsidRDefault="006070A5" w:rsidP="0009252C"/>
        </w:tc>
        <w:tc>
          <w:tcPr>
            <w:tcW w:w="3285" w:type="dxa"/>
            <w:vMerge/>
          </w:tcPr>
          <w:p w:rsidR="006070A5" w:rsidRDefault="006070A5" w:rsidP="0009252C"/>
        </w:tc>
        <w:tc>
          <w:tcPr>
            <w:tcW w:w="3285" w:type="dxa"/>
          </w:tcPr>
          <w:p w:rsidR="006070A5" w:rsidRDefault="006070A5" w:rsidP="0009252C"/>
        </w:tc>
      </w:tr>
      <w:tr w:rsidR="006070A5" w:rsidTr="0009252C">
        <w:tc>
          <w:tcPr>
            <w:tcW w:w="9854" w:type="dxa"/>
            <w:gridSpan w:val="3"/>
          </w:tcPr>
          <w:p w:rsidR="006070A5" w:rsidRPr="00E10F0A" w:rsidRDefault="006070A5" w:rsidP="0009252C">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6070A5" w:rsidRDefault="006070A5" w:rsidP="0009252C">
            <w:pPr>
              <w:jc w:val="center"/>
            </w:pPr>
            <w:r w:rsidRPr="00E10F0A">
              <w:rPr>
                <w:b/>
                <w:bCs/>
                <w:color w:val="006600"/>
                <w:sz w:val="32"/>
                <w:szCs w:val="32"/>
              </w:rPr>
              <w:t>П О С Т А Н О В А</w:t>
            </w:r>
          </w:p>
        </w:tc>
      </w:tr>
    </w:tbl>
    <w:p w:rsidR="006070A5" w:rsidRPr="00566BA2" w:rsidRDefault="006070A5" w:rsidP="006070A5">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2636"/>
        <w:gridCol w:w="1676"/>
        <w:gridCol w:w="1893"/>
      </w:tblGrid>
      <w:tr w:rsidR="006070A5" w:rsidTr="0009252C">
        <w:tc>
          <w:tcPr>
            <w:tcW w:w="3510" w:type="dxa"/>
            <w:vAlign w:val="bottom"/>
          </w:tcPr>
          <w:p w:rsidR="006070A5" w:rsidRPr="00787452" w:rsidRDefault="00787452" w:rsidP="0009252C">
            <w:r>
              <w:rPr>
                <w:lang w:val="en-US"/>
              </w:rPr>
              <w:t xml:space="preserve">25 </w:t>
            </w:r>
            <w:r>
              <w:t>квітня 2023 року</w:t>
            </w:r>
          </w:p>
        </w:tc>
        <w:tc>
          <w:tcPr>
            <w:tcW w:w="2694" w:type="dxa"/>
          </w:tcPr>
          <w:p w:rsidR="006070A5" w:rsidRDefault="006070A5" w:rsidP="0009252C">
            <w:pPr>
              <w:spacing w:before="240"/>
              <w:jc w:val="center"/>
            </w:pPr>
            <w:r w:rsidRPr="00E10F0A">
              <w:rPr>
                <w:color w:val="006600"/>
              </w:rPr>
              <w:t>Київ</w:t>
            </w:r>
          </w:p>
        </w:tc>
        <w:tc>
          <w:tcPr>
            <w:tcW w:w="1713" w:type="dxa"/>
            <w:vAlign w:val="bottom"/>
          </w:tcPr>
          <w:p w:rsidR="006070A5" w:rsidRPr="008274C0" w:rsidRDefault="006070A5" w:rsidP="0009252C">
            <w:pPr>
              <w:jc w:val="right"/>
              <w:rPr>
                <w:lang w:val="en-US"/>
              </w:rPr>
            </w:pPr>
            <w:r w:rsidRPr="008274C0">
              <w:rPr>
                <w:color w:val="FFFFFF" w:themeColor="background1"/>
              </w:rPr>
              <w:t>№</w:t>
            </w:r>
          </w:p>
        </w:tc>
        <w:tc>
          <w:tcPr>
            <w:tcW w:w="1937" w:type="dxa"/>
            <w:vAlign w:val="bottom"/>
          </w:tcPr>
          <w:p w:rsidR="006070A5" w:rsidRDefault="00787452" w:rsidP="0009252C">
            <w:pPr>
              <w:jc w:val="left"/>
            </w:pPr>
            <w:r>
              <w:t>№ 56</w:t>
            </w:r>
          </w:p>
        </w:tc>
      </w:tr>
    </w:tbl>
    <w:p w:rsidR="006070A5" w:rsidRPr="00CD0CD4" w:rsidRDefault="006070A5" w:rsidP="006070A5">
      <w:pPr>
        <w:rPr>
          <w:sz w:val="2"/>
          <w:szCs w:val="2"/>
        </w:rPr>
      </w:pPr>
    </w:p>
    <w:p w:rsidR="006070A5" w:rsidRDefault="006070A5" w:rsidP="006070A5">
      <w:pPr>
        <w:ind w:firstLine="709"/>
        <w:jc w:val="center"/>
        <w:rPr>
          <w:rFonts w:eastAsiaTheme="minorEastAsia"/>
          <w:color w:val="000000" w:themeColor="text1"/>
          <w:lang w:eastAsia="en-US"/>
        </w:rPr>
      </w:pPr>
    </w:p>
    <w:p w:rsidR="00121971" w:rsidRPr="00CD0CD4" w:rsidRDefault="00121971" w:rsidP="006070A5">
      <w:pPr>
        <w:ind w:firstLine="709"/>
        <w:jc w:val="center"/>
        <w:rPr>
          <w:rFonts w:eastAsiaTheme="minorEastAsia"/>
          <w:color w:val="000000" w:themeColor="text1"/>
          <w:lang w:eastAsia="en-US"/>
        </w:rPr>
      </w:pPr>
    </w:p>
    <w:tbl>
      <w:tblPr>
        <w:tblStyle w:val="a9"/>
        <w:tblW w:w="360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tblGrid>
      <w:tr w:rsidR="006070A5" w:rsidRPr="00CD0CD4" w:rsidTr="006070A5">
        <w:trPr>
          <w:jc w:val="center"/>
        </w:trPr>
        <w:tc>
          <w:tcPr>
            <w:tcW w:w="5000" w:type="pct"/>
          </w:tcPr>
          <w:p w:rsidR="006070A5" w:rsidRPr="00CD0CD4" w:rsidRDefault="006070A5" w:rsidP="0009252C">
            <w:pPr>
              <w:tabs>
                <w:tab w:val="left" w:pos="840"/>
                <w:tab w:val="center" w:pos="3293"/>
              </w:tabs>
              <w:spacing w:before="240" w:after="240"/>
              <w:jc w:val="center"/>
              <w:rPr>
                <w:rFonts w:eastAsiaTheme="minorEastAsia"/>
                <w:color w:val="000000" w:themeColor="text1"/>
                <w:lang w:eastAsia="en-US"/>
              </w:rPr>
            </w:pPr>
            <w:r w:rsidRPr="006070A5">
              <w:t>Про затвердження Правил здійснення оцінки стійкості банків і банківської системи України в 2023 році</w:t>
            </w:r>
          </w:p>
        </w:tc>
      </w:tr>
    </w:tbl>
    <w:p w:rsidR="00121971" w:rsidRDefault="00121971" w:rsidP="00121971">
      <w:pPr>
        <w:spacing w:before="240" w:after="240"/>
        <w:ind w:firstLine="567"/>
      </w:pPr>
    </w:p>
    <w:p w:rsidR="006070A5" w:rsidRPr="00121971" w:rsidRDefault="006070A5" w:rsidP="00121971">
      <w:pPr>
        <w:spacing w:before="240" w:after="240"/>
        <w:ind w:firstLine="567"/>
      </w:pPr>
      <w:r w:rsidRPr="00121971">
        <w:t xml:space="preserve">Відповідно до статей 6, 7, 15, 55, 56 Закону України “Про Національний банк України”, статей 66, 67 Закону України “Про банки і банківську діяльність”, Указу Президента України від 24 лютого 2022 року </w:t>
      </w:r>
      <w:hyperlink r:id="rId14" w:tgtFrame="_blank" w:history="1">
        <w:r w:rsidRPr="001D60B7">
          <w:t>№ 64/2022</w:t>
        </w:r>
      </w:hyperlink>
      <w:r w:rsidRPr="00121971">
        <w:t xml:space="preserve"> “Про введення воєнного стану в Україні”, затвердженого Законом України від 24 лютого 2022 року </w:t>
      </w:r>
      <w:hyperlink r:id="rId15" w:tgtFrame="_blank" w:history="1">
        <w:r w:rsidRPr="001D60B7">
          <w:t>№ 2102-IX</w:t>
        </w:r>
      </w:hyperlink>
      <w:r w:rsidRPr="00121971">
        <w:t xml:space="preserve"> «Про затвердження Указу Президента України “Про введення воєнного стану в Україні”», враховуючи вимоги Положення про здійснення оцінки стійкості банків і банківської системи України, затвердженого постановою Правління Національного банку України від 22 грудня 2017 року № 141 (зі змінами), з метою проведення в 2023 році в період дії воєнного стану в Україні оцінки стійкості банків і банківської системи України Правління Національного банку України </w:t>
      </w:r>
      <w:r w:rsidRPr="00797AF2">
        <w:rPr>
          <w:b/>
        </w:rPr>
        <w:t>постановляє</w:t>
      </w:r>
      <w:r w:rsidRPr="00121971">
        <w:t>:</w:t>
      </w:r>
    </w:p>
    <w:p w:rsidR="006070A5" w:rsidRPr="00121971" w:rsidRDefault="006070A5" w:rsidP="00121971">
      <w:pPr>
        <w:spacing w:before="240" w:after="240"/>
        <w:ind w:firstLine="567"/>
        <w:rPr>
          <w:rFonts w:eastAsiaTheme="minorEastAsia"/>
        </w:rPr>
      </w:pPr>
      <w:r w:rsidRPr="00121971">
        <w:t>1. Затвердити Правила здійснення оцінки стійкості банків і банківської системи України в 2023 році (далі – Правила), що додаються</w:t>
      </w:r>
      <w:r w:rsidRPr="00121971">
        <w:rPr>
          <w:rFonts w:eastAsiaTheme="minorEastAsia"/>
        </w:rPr>
        <w:t>.</w:t>
      </w:r>
    </w:p>
    <w:p w:rsidR="006070A5" w:rsidRPr="00121971" w:rsidRDefault="006070A5" w:rsidP="00121971">
      <w:pPr>
        <w:spacing w:before="240" w:after="240"/>
        <w:ind w:firstLine="567"/>
        <w:rPr>
          <w:rFonts w:eastAsiaTheme="minorEastAsia"/>
        </w:rPr>
      </w:pPr>
      <w:r w:rsidRPr="00121971">
        <w:rPr>
          <w:rFonts w:eastAsiaTheme="minorEastAsia"/>
        </w:rPr>
        <w:t>2. </w:t>
      </w:r>
      <w:r w:rsidRPr="00121971">
        <w:t>Здійснити в 2023 році оцінку стійкості банків і банківської системи України згідно з Правилами</w:t>
      </w:r>
      <w:r w:rsidRPr="00121971">
        <w:rPr>
          <w:rFonts w:eastAsiaTheme="minorEastAsia"/>
        </w:rPr>
        <w:t>.</w:t>
      </w:r>
    </w:p>
    <w:p w:rsidR="006070A5" w:rsidRPr="00121971" w:rsidRDefault="006070A5" w:rsidP="00121971">
      <w:pPr>
        <w:spacing w:before="240" w:after="240"/>
        <w:ind w:firstLine="567"/>
        <w:rPr>
          <w:rFonts w:eastAsiaTheme="minorEastAsia"/>
        </w:rPr>
      </w:pPr>
      <w:r w:rsidRPr="00121971">
        <w:rPr>
          <w:rFonts w:eastAsiaTheme="minorEastAsia"/>
        </w:rPr>
        <w:t>3. </w:t>
      </w:r>
      <w:r w:rsidRPr="00121971">
        <w:t>Здійснити оцінку стійкості банків, зазначених у додатку до цієї постанови, із застосуванням трьох етапів оцінки стійкості станом на 01 квітня 2023 року.</w:t>
      </w:r>
    </w:p>
    <w:p w:rsidR="006070A5" w:rsidRPr="00121971" w:rsidRDefault="006070A5" w:rsidP="00121971">
      <w:pPr>
        <w:spacing w:before="240" w:after="240"/>
        <w:ind w:firstLine="567"/>
        <w:rPr>
          <w:rFonts w:eastAsiaTheme="minorEastAsia"/>
        </w:rPr>
      </w:pPr>
      <w:r w:rsidRPr="00121971">
        <w:rPr>
          <w:rFonts w:eastAsiaTheme="minorEastAsia"/>
        </w:rPr>
        <w:t>4. </w:t>
      </w:r>
      <w:r w:rsidRPr="00121971">
        <w:t xml:space="preserve">Банкам </w:t>
      </w:r>
      <w:r w:rsidR="0009252C" w:rsidRPr="00121971">
        <w:t xml:space="preserve">подати </w:t>
      </w:r>
      <w:r w:rsidRPr="00121971">
        <w:t xml:space="preserve">до Національного банку України реєстр активів, складений згідно з розділом II Правил, до </w:t>
      </w:r>
      <w:r w:rsidR="001D60B7" w:rsidRPr="001D60B7">
        <w:rPr>
          <w:lang w:val="ru-RU"/>
        </w:rPr>
        <w:t xml:space="preserve">05 </w:t>
      </w:r>
      <w:r w:rsidR="001D60B7">
        <w:t xml:space="preserve">травня </w:t>
      </w:r>
      <w:r w:rsidRPr="00121971">
        <w:t>2023 року.</w:t>
      </w:r>
    </w:p>
    <w:p w:rsidR="006070A5" w:rsidRPr="00121971" w:rsidRDefault="006070A5" w:rsidP="00121971">
      <w:pPr>
        <w:spacing w:before="240" w:after="240"/>
        <w:ind w:firstLine="567"/>
        <w:rPr>
          <w:rFonts w:eastAsiaTheme="minorEastAsia"/>
        </w:rPr>
      </w:pPr>
      <w:r w:rsidRPr="00121971">
        <w:rPr>
          <w:rFonts w:eastAsiaTheme="minorEastAsia"/>
        </w:rPr>
        <w:lastRenderedPageBreak/>
        <w:t>5. </w:t>
      </w:r>
      <w:r w:rsidRPr="00121971">
        <w:t>Департаменту методології регулювання діяльності банків (Наталія Іваненко) після офіційного опублікування довести інформацію про прийняття цієї постанови до відома банків, зазначених у додатку до цієї постанови</w:t>
      </w:r>
      <w:r w:rsidRPr="00121971">
        <w:rPr>
          <w:rFonts w:eastAsiaTheme="minorEastAsia"/>
        </w:rPr>
        <w:t>.</w:t>
      </w:r>
    </w:p>
    <w:p w:rsidR="006070A5" w:rsidRPr="00121971" w:rsidRDefault="006070A5" w:rsidP="00121971">
      <w:pPr>
        <w:spacing w:before="240" w:after="240"/>
        <w:ind w:firstLine="567"/>
        <w:rPr>
          <w:rFonts w:eastAsiaTheme="minorEastAsia"/>
        </w:rPr>
      </w:pPr>
      <w:r w:rsidRPr="00121971">
        <w:rPr>
          <w:rFonts w:eastAsiaTheme="minorEastAsia"/>
        </w:rPr>
        <w:t>6. </w:t>
      </w:r>
      <w:r w:rsidRPr="00121971">
        <w:t>Постанова набирає чинності з дня, наступного за днем її офіційного опублікування, і діє до 31 березня 2026 року</w:t>
      </w:r>
      <w:r w:rsidRPr="00121971">
        <w:rPr>
          <w:rFonts w:eastAsiaTheme="minorEastAsia"/>
        </w:rPr>
        <w:t>.</w:t>
      </w:r>
    </w:p>
    <w:p w:rsidR="006070A5" w:rsidRPr="00CD0CD4" w:rsidRDefault="006070A5" w:rsidP="006070A5">
      <w:pPr>
        <w:tabs>
          <w:tab w:val="left" w:pos="993"/>
        </w:tabs>
        <w:spacing w:after="120"/>
      </w:pPr>
    </w:p>
    <w:p w:rsidR="006070A5" w:rsidRPr="00CD0CD4" w:rsidRDefault="006070A5" w:rsidP="006070A5">
      <w:pPr>
        <w:spacing w:after="12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6070A5" w:rsidRPr="00CD0CD4" w:rsidTr="0009252C">
        <w:tc>
          <w:tcPr>
            <w:tcW w:w="5495" w:type="dxa"/>
            <w:vAlign w:val="bottom"/>
          </w:tcPr>
          <w:p w:rsidR="006070A5" w:rsidRPr="00CD0CD4" w:rsidRDefault="006070A5" w:rsidP="001D60B7">
            <w:pPr>
              <w:autoSpaceDE w:val="0"/>
              <w:autoSpaceDN w:val="0"/>
              <w:ind w:left="-57"/>
              <w:jc w:val="left"/>
            </w:pPr>
            <w:r w:rsidRPr="00F41519">
              <w:t>Голова</w:t>
            </w:r>
          </w:p>
        </w:tc>
        <w:tc>
          <w:tcPr>
            <w:tcW w:w="4252" w:type="dxa"/>
            <w:vAlign w:val="bottom"/>
          </w:tcPr>
          <w:p w:rsidR="006070A5" w:rsidRPr="00CD0CD4" w:rsidRDefault="006070A5" w:rsidP="001D60B7">
            <w:pPr>
              <w:tabs>
                <w:tab w:val="left" w:pos="7020"/>
                <w:tab w:val="left" w:pos="7200"/>
              </w:tabs>
              <w:autoSpaceDE w:val="0"/>
              <w:autoSpaceDN w:val="0"/>
              <w:ind w:left="-57"/>
              <w:jc w:val="right"/>
            </w:pPr>
            <w:r w:rsidRPr="00F41519">
              <w:t>Андрій ПИШНИЙ</w:t>
            </w:r>
          </w:p>
        </w:tc>
      </w:tr>
    </w:tbl>
    <w:p w:rsidR="006070A5" w:rsidRPr="00CD0CD4" w:rsidRDefault="006070A5" w:rsidP="006070A5"/>
    <w:p w:rsidR="006070A5" w:rsidRPr="00CD0CD4" w:rsidRDefault="006070A5" w:rsidP="006070A5"/>
    <w:p w:rsidR="006070A5" w:rsidRPr="00CD0CD4" w:rsidRDefault="006070A5" w:rsidP="006070A5">
      <w:pPr>
        <w:jc w:val="left"/>
      </w:pPr>
      <w:r w:rsidRPr="00CD0CD4">
        <w:t>Інд.</w:t>
      </w:r>
      <w:r w:rsidRPr="00CD0CD4">
        <w:rPr>
          <w:sz w:val="22"/>
          <w:szCs w:val="22"/>
        </w:rPr>
        <w:t xml:space="preserve"> </w:t>
      </w:r>
      <w:r>
        <w:rPr>
          <w:lang w:val="en-US"/>
        </w:rPr>
        <w:t>22</w:t>
      </w:r>
    </w:p>
    <w:p w:rsidR="00657593" w:rsidRPr="00F41519" w:rsidRDefault="00657593" w:rsidP="00657593"/>
    <w:p w:rsidR="00E42621" w:rsidRPr="00F41519" w:rsidRDefault="00E42621" w:rsidP="00E42621">
      <w:pPr>
        <w:tabs>
          <w:tab w:val="left" w:pos="993"/>
        </w:tabs>
        <w:spacing w:after="120"/>
      </w:pPr>
    </w:p>
    <w:p w:rsidR="00032713" w:rsidRPr="00F41519" w:rsidRDefault="00032713" w:rsidP="00FA508E">
      <w:pPr>
        <w:jc w:val="left"/>
      </w:pPr>
    </w:p>
    <w:p w:rsidR="009535B8" w:rsidRPr="00F41519" w:rsidRDefault="009535B8" w:rsidP="00FA508E">
      <w:pPr>
        <w:jc w:val="left"/>
      </w:pPr>
    </w:p>
    <w:p w:rsidR="006070A5" w:rsidRDefault="006070A5" w:rsidP="00DF7FF6">
      <w:pPr>
        <w:ind w:left="142"/>
        <w:jc w:val="left"/>
      </w:pPr>
    </w:p>
    <w:p w:rsidR="006070A5" w:rsidRPr="00F41519" w:rsidRDefault="006070A5" w:rsidP="00DF7FF6">
      <w:pPr>
        <w:ind w:left="142"/>
        <w:jc w:val="left"/>
        <w:sectPr w:rsidR="006070A5" w:rsidRPr="00F41519" w:rsidSect="0009252C">
          <w:headerReference w:type="default" r:id="rId16"/>
          <w:headerReference w:type="first" r:id="rId17"/>
          <w:footerReference w:type="first" r:id="rId18"/>
          <w:pgSz w:w="11906" w:h="16838" w:code="9"/>
          <w:pgMar w:top="567" w:right="567" w:bottom="1701" w:left="1701" w:header="567" w:footer="567" w:gutter="0"/>
          <w:pgNumType w:start="1"/>
          <w:cols w:space="708"/>
          <w:titlePg/>
          <w:docGrid w:linePitch="381"/>
        </w:sectPr>
      </w:pPr>
    </w:p>
    <w:p w:rsidR="00CD23B7" w:rsidRPr="00F41519" w:rsidRDefault="00CD23B7" w:rsidP="00CD23B7">
      <w:pPr>
        <w:ind w:left="5670"/>
      </w:pPr>
      <w:r w:rsidRPr="00F41519">
        <w:lastRenderedPageBreak/>
        <w:t xml:space="preserve">Додаток </w:t>
      </w:r>
      <w:r w:rsidR="006812D9" w:rsidRPr="00F41519">
        <w:t xml:space="preserve"> </w:t>
      </w:r>
    </w:p>
    <w:p w:rsidR="00CD23B7" w:rsidRPr="00F41519" w:rsidRDefault="00CD23B7" w:rsidP="00CD23B7">
      <w:pPr>
        <w:ind w:left="5670"/>
      </w:pPr>
      <w:r w:rsidRPr="00F41519">
        <w:t>до постанови Правління</w:t>
      </w:r>
    </w:p>
    <w:p w:rsidR="00CD23B7" w:rsidRPr="00F41519" w:rsidRDefault="00CD23B7" w:rsidP="00CD23B7">
      <w:pPr>
        <w:ind w:left="5670"/>
      </w:pPr>
      <w:r w:rsidRPr="00F41519">
        <w:t>Національного банку України</w:t>
      </w:r>
    </w:p>
    <w:p w:rsidR="00CD23B7" w:rsidRPr="00F41519" w:rsidRDefault="00787452" w:rsidP="00CD23B7">
      <w:pPr>
        <w:ind w:left="5670"/>
      </w:pPr>
      <w:r>
        <w:rPr>
          <w:lang w:val="en-US"/>
        </w:rPr>
        <w:t xml:space="preserve">25 </w:t>
      </w:r>
      <w:r>
        <w:t>квітня 2023 року</w:t>
      </w:r>
      <w:r>
        <w:t xml:space="preserve"> № 56</w:t>
      </w:r>
    </w:p>
    <w:p w:rsidR="00CD23B7" w:rsidRPr="00F41519" w:rsidRDefault="00CD23B7" w:rsidP="00CD23B7">
      <w:pPr>
        <w:pStyle w:val="ParagraphNumbering"/>
        <w:tabs>
          <w:tab w:val="left" w:pos="567"/>
          <w:tab w:val="left" w:pos="993"/>
        </w:tabs>
        <w:spacing w:after="0"/>
        <w:ind w:right="-57"/>
        <w:jc w:val="both"/>
        <w:rPr>
          <w:bCs/>
          <w:sz w:val="28"/>
          <w:szCs w:val="28"/>
          <w:lang w:val="uk-UA" w:eastAsia="ru-RU"/>
        </w:rPr>
      </w:pPr>
    </w:p>
    <w:p w:rsidR="00CD23B7" w:rsidRPr="00F41519" w:rsidRDefault="00CD23B7" w:rsidP="00CD23B7">
      <w:pPr>
        <w:pStyle w:val="ParagraphNumbering"/>
        <w:tabs>
          <w:tab w:val="left" w:pos="567"/>
          <w:tab w:val="left" w:pos="993"/>
        </w:tabs>
        <w:spacing w:after="0"/>
        <w:ind w:right="-57"/>
        <w:jc w:val="both"/>
        <w:rPr>
          <w:bCs/>
          <w:sz w:val="28"/>
          <w:szCs w:val="28"/>
          <w:lang w:val="uk-UA" w:eastAsia="ru-RU"/>
        </w:rPr>
      </w:pPr>
    </w:p>
    <w:p w:rsidR="00CD23B7" w:rsidRPr="00F41519" w:rsidRDefault="00CD23B7" w:rsidP="00CD23B7">
      <w:pPr>
        <w:jc w:val="center"/>
      </w:pPr>
      <w:r w:rsidRPr="00F41519">
        <w:t xml:space="preserve">Перелік банків України, </w:t>
      </w:r>
    </w:p>
    <w:p w:rsidR="00CD23B7" w:rsidRPr="00F41519" w:rsidRDefault="00CD23B7" w:rsidP="00CD23B7">
      <w:pPr>
        <w:jc w:val="center"/>
      </w:pPr>
      <w:r w:rsidRPr="00F41519">
        <w:t xml:space="preserve">щодо яких оцінка стійкості у 2023 році </w:t>
      </w:r>
    </w:p>
    <w:p w:rsidR="00CD23B7" w:rsidRPr="00F41519" w:rsidRDefault="00CD23B7" w:rsidP="00CD23B7">
      <w:pPr>
        <w:jc w:val="center"/>
      </w:pPr>
      <w:r w:rsidRPr="00F41519">
        <w:t xml:space="preserve">здійснюватиметься із застосуванням трьох етапів </w:t>
      </w:r>
    </w:p>
    <w:p w:rsidR="00CD23B7" w:rsidRPr="00F41519" w:rsidRDefault="00CD23B7" w:rsidP="00CD23B7">
      <w:pPr>
        <w:pStyle w:val="ParagraphNumbering"/>
        <w:tabs>
          <w:tab w:val="left" w:pos="567"/>
          <w:tab w:val="left" w:pos="993"/>
        </w:tabs>
        <w:spacing w:after="0"/>
        <w:ind w:right="-57"/>
        <w:jc w:val="both"/>
        <w:rPr>
          <w:bCs/>
          <w:sz w:val="28"/>
          <w:szCs w:val="28"/>
          <w:lang w:val="uk-UA" w:eastAsia="ru-RU"/>
        </w:rPr>
      </w:pPr>
    </w:p>
    <w:tbl>
      <w:tblPr>
        <w:tblW w:w="9493"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505"/>
      </w:tblGrid>
      <w:tr w:rsidR="00CD23B7" w:rsidRPr="00F41519" w:rsidTr="001C1266">
        <w:tc>
          <w:tcPr>
            <w:tcW w:w="988" w:type="dxa"/>
            <w:vAlign w:val="bottom"/>
          </w:tcPr>
          <w:p w:rsidR="00CD23B7" w:rsidRPr="00F41519" w:rsidRDefault="00CD23B7" w:rsidP="001C1266">
            <w:pPr>
              <w:jc w:val="center"/>
            </w:pPr>
            <w:r w:rsidRPr="00F41519">
              <w:t xml:space="preserve">№ </w:t>
            </w:r>
          </w:p>
          <w:p w:rsidR="00CD23B7" w:rsidRPr="00F41519" w:rsidRDefault="00CD23B7" w:rsidP="001C1266">
            <w:pPr>
              <w:jc w:val="center"/>
            </w:pPr>
            <w:r w:rsidRPr="00F41519">
              <w:t>з/п</w:t>
            </w:r>
          </w:p>
        </w:tc>
        <w:tc>
          <w:tcPr>
            <w:tcW w:w="8505" w:type="dxa"/>
            <w:vAlign w:val="bottom"/>
          </w:tcPr>
          <w:p w:rsidR="00CD23B7" w:rsidRPr="00F41519" w:rsidRDefault="00CD23B7" w:rsidP="001C1266">
            <w:pPr>
              <w:spacing w:after="120"/>
              <w:jc w:val="center"/>
            </w:pPr>
            <w:r w:rsidRPr="00F41519">
              <w:t>Найменування банку</w:t>
            </w:r>
          </w:p>
        </w:tc>
      </w:tr>
    </w:tbl>
    <w:p w:rsidR="00CD23B7" w:rsidRPr="00F41519" w:rsidRDefault="00CD23B7" w:rsidP="00CD23B7">
      <w:pPr>
        <w:spacing w:line="24" w:lineRule="auto"/>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505"/>
      </w:tblGrid>
      <w:tr w:rsidR="00F41519" w:rsidRPr="00F41519" w:rsidTr="001C1266">
        <w:trPr>
          <w:tblHeader/>
        </w:trPr>
        <w:tc>
          <w:tcPr>
            <w:tcW w:w="988" w:type="dxa"/>
            <w:vAlign w:val="bottom"/>
          </w:tcPr>
          <w:p w:rsidR="00CD23B7" w:rsidRPr="00F41519" w:rsidRDefault="00CD23B7" w:rsidP="001C1266">
            <w:pPr>
              <w:ind w:right="-48"/>
              <w:jc w:val="center"/>
            </w:pPr>
            <w:r w:rsidRPr="00F41519">
              <w:t>1</w:t>
            </w:r>
          </w:p>
        </w:tc>
        <w:tc>
          <w:tcPr>
            <w:tcW w:w="8505" w:type="dxa"/>
            <w:vAlign w:val="bottom"/>
          </w:tcPr>
          <w:p w:rsidR="00CD23B7" w:rsidRPr="00F41519" w:rsidRDefault="00CD23B7" w:rsidP="001C1266">
            <w:pPr>
              <w:ind w:right="-48"/>
              <w:jc w:val="center"/>
            </w:pPr>
            <w:r w:rsidRPr="00F41519">
              <w:t>2</w:t>
            </w:r>
          </w:p>
        </w:tc>
      </w:tr>
      <w:tr w:rsidR="00F41519" w:rsidRPr="00F41519" w:rsidTr="001C1266">
        <w:tc>
          <w:tcPr>
            <w:tcW w:w="988" w:type="dxa"/>
            <w:vAlign w:val="center"/>
          </w:tcPr>
          <w:p w:rsidR="00CD23B7" w:rsidRPr="00F41519" w:rsidRDefault="00CD23B7" w:rsidP="001C1266">
            <w:pPr>
              <w:pStyle w:val="af3"/>
              <w:numPr>
                <w:ilvl w:val="0"/>
                <w:numId w:val="24"/>
              </w:numPr>
              <w:ind w:hanging="402"/>
              <w:jc w:val="center"/>
            </w:pPr>
          </w:p>
        </w:tc>
        <w:tc>
          <w:tcPr>
            <w:tcW w:w="8505" w:type="dxa"/>
          </w:tcPr>
          <w:p w:rsidR="00CD23B7" w:rsidRPr="00F41519" w:rsidRDefault="00CD23B7" w:rsidP="001C1266">
            <w:pPr>
              <w:tabs>
                <w:tab w:val="left" w:pos="851"/>
                <w:tab w:val="left" w:pos="993"/>
              </w:tabs>
            </w:pPr>
            <w:r w:rsidRPr="00F41519">
              <w:t>АТ КБ “ПриватБанк”</w:t>
            </w:r>
          </w:p>
        </w:tc>
      </w:tr>
      <w:tr w:rsidR="00F41519" w:rsidRPr="00F41519" w:rsidTr="001C1266">
        <w:tc>
          <w:tcPr>
            <w:tcW w:w="988" w:type="dxa"/>
            <w:vAlign w:val="center"/>
          </w:tcPr>
          <w:p w:rsidR="00CD23B7" w:rsidRPr="00F41519" w:rsidRDefault="00CD23B7" w:rsidP="001C1266">
            <w:pPr>
              <w:pStyle w:val="af3"/>
              <w:numPr>
                <w:ilvl w:val="0"/>
                <w:numId w:val="24"/>
              </w:numPr>
              <w:ind w:hanging="402"/>
              <w:jc w:val="center"/>
            </w:pPr>
          </w:p>
        </w:tc>
        <w:tc>
          <w:tcPr>
            <w:tcW w:w="8505" w:type="dxa"/>
          </w:tcPr>
          <w:p w:rsidR="00CD23B7" w:rsidRPr="00F41519" w:rsidRDefault="00CD23B7" w:rsidP="001C1266">
            <w:pPr>
              <w:tabs>
                <w:tab w:val="left" w:pos="851"/>
                <w:tab w:val="left" w:pos="993"/>
              </w:tabs>
            </w:pPr>
            <w:r w:rsidRPr="00F41519">
              <w:t>АТ “Ощадбанк”</w:t>
            </w:r>
          </w:p>
        </w:tc>
      </w:tr>
      <w:tr w:rsidR="00F41519" w:rsidRPr="00F41519" w:rsidTr="001C1266">
        <w:tc>
          <w:tcPr>
            <w:tcW w:w="988" w:type="dxa"/>
            <w:vAlign w:val="center"/>
          </w:tcPr>
          <w:p w:rsidR="00CD23B7" w:rsidRPr="00F41519" w:rsidRDefault="00CD23B7" w:rsidP="001C1266">
            <w:pPr>
              <w:pStyle w:val="af3"/>
              <w:numPr>
                <w:ilvl w:val="0"/>
                <w:numId w:val="24"/>
              </w:numPr>
              <w:ind w:hanging="402"/>
              <w:jc w:val="center"/>
            </w:pPr>
          </w:p>
        </w:tc>
        <w:tc>
          <w:tcPr>
            <w:tcW w:w="8505" w:type="dxa"/>
          </w:tcPr>
          <w:p w:rsidR="00CD23B7" w:rsidRPr="00F41519" w:rsidRDefault="00CD23B7" w:rsidP="001C1266">
            <w:pPr>
              <w:tabs>
                <w:tab w:val="left" w:pos="851"/>
                <w:tab w:val="left" w:pos="993"/>
              </w:tabs>
            </w:pPr>
            <w:r w:rsidRPr="00F41519">
              <w:t>АТ “Райффайзен Банк”</w:t>
            </w:r>
          </w:p>
        </w:tc>
      </w:tr>
      <w:tr w:rsidR="00F41519" w:rsidRPr="00F41519" w:rsidTr="001C1266">
        <w:tc>
          <w:tcPr>
            <w:tcW w:w="988" w:type="dxa"/>
            <w:vAlign w:val="center"/>
          </w:tcPr>
          <w:p w:rsidR="00CD23B7" w:rsidRPr="00F41519" w:rsidRDefault="00CD23B7" w:rsidP="001C1266">
            <w:pPr>
              <w:pStyle w:val="af3"/>
              <w:numPr>
                <w:ilvl w:val="0"/>
                <w:numId w:val="24"/>
              </w:numPr>
              <w:ind w:hanging="402"/>
              <w:jc w:val="center"/>
            </w:pPr>
          </w:p>
        </w:tc>
        <w:tc>
          <w:tcPr>
            <w:tcW w:w="8505" w:type="dxa"/>
          </w:tcPr>
          <w:p w:rsidR="00CD23B7" w:rsidRPr="00F41519" w:rsidRDefault="003F7DED" w:rsidP="001C1266">
            <w:pPr>
              <w:tabs>
                <w:tab w:val="left" w:pos="851"/>
                <w:tab w:val="left" w:pos="993"/>
              </w:tabs>
            </w:pPr>
            <w:r w:rsidRPr="00F41519">
              <w:t>АТ “СЕНС БАНК”</w:t>
            </w:r>
          </w:p>
        </w:tc>
      </w:tr>
      <w:tr w:rsidR="00F41519" w:rsidRPr="00F41519" w:rsidTr="001C1266">
        <w:tc>
          <w:tcPr>
            <w:tcW w:w="988" w:type="dxa"/>
            <w:vAlign w:val="center"/>
          </w:tcPr>
          <w:p w:rsidR="00D231E0" w:rsidRPr="00F41519" w:rsidRDefault="00D231E0" w:rsidP="00D231E0">
            <w:pPr>
              <w:pStyle w:val="af3"/>
              <w:numPr>
                <w:ilvl w:val="0"/>
                <w:numId w:val="24"/>
              </w:numPr>
              <w:ind w:hanging="402"/>
              <w:jc w:val="center"/>
            </w:pPr>
          </w:p>
        </w:tc>
        <w:tc>
          <w:tcPr>
            <w:tcW w:w="8505" w:type="dxa"/>
          </w:tcPr>
          <w:p w:rsidR="00D231E0" w:rsidRPr="00F41519" w:rsidRDefault="00D231E0" w:rsidP="00D231E0">
            <w:pPr>
              <w:tabs>
                <w:tab w:val="left" w:pos="851"/>
                <w:tab w:val="left" w:pos="993"/>
              </w:tabs>
            </w:pPr>
            <w:r w:rsidRPr="00F41519">
              <w:t>АТ “УНІВЕРСАЛ БАНК”</w:t>
            </w:r>
          </w:p>
        </w:tc>
      </w:tr>
      <w:tr w:rsidR="00F41519" w:rsidRPr="00F41519" w:rsidTr="001C1266">
        <w:tc>
          <w:tcPr>
            <w:tcW w:w="988" w:type="dxa"/>
            <w:vAlign w:val="center"/>
          </w:tcPr>
          <w:p w:rsidR="00D231E0" w:rsidRPr="00F41519" w:rsidRDefault="00D231E0" w:rsidP="00D231E0">
            <w:pPr>
              <w:pStyle w:val="af3"/>
              <w:numPr>
                <w:ilvl w:val="0"/>
                <w:numId w:val="24"/>
              </w:numPr>
              <w:ind w:hanging="402"/>
              <w:jc w:val="center"/>
            </w:pPr>
          </w:p>
        </w:tc>
        <w:tc>
          <w:tcPr>
            <w:tcW w:w="8505" w:type="dxa"/>
          </w:tcPr>
          <w:p w:rsidR="00D231E0" w:rsidRPr="00F41519" w:rsidRDefault="00D231E0" w:rsidP="00D231E0">
            <w:pPr>
              <w:tabs>
                <w:tab w:val="left" w:pos="851"/>
                <w:tab w:val="left" w:pos="993"/>
              </w:tabs>
            </w:pPr>
            <w:r w:rsidRPr="00F41519">
              <w:t>АТ “ПУМБ”</w:t>
            </w:r>
          </w:p>
        </w:tc>
      </w:tr>
      <w:tr w:rsidR="00F41519" w:rsidRPr="00F41519" w:rsidTr="001C1266">
        <w:tc>
          <w:tcPr>
            <w:tcW w:w="988" w:type="dxa"/>
            <w:vAlign w:val="center"/>
          </w:tcPr>
          <w:p w:rsidR="00D231E0" w:rsidRPr="00F41519" w:rsidRDefault="00D231E0" w:rsidP="00D231E0">
            <w:pPr>
              <w:pStyle w:val="af3"/>
              <w:numPr>
                <w:ilvl w:val="0"/>
                <w:numId w:val="24"/>
              </w:numPr>
              <w:ind w:hanging="402"/>
              <w:jc w:val="center"/>
            </w:pPr>
          </w:p>
        </w:tc>
        <w:tc>
          <w:tcPr>
            <w:tcW w:w="8505" w:type="dxa"/>
          </w:tcPr>
          <w:p w:rsidR="00D231E0" w:rsidRPr="00F41519" w:rsidRDefault="00D231E0" w:rsidP="00D231E0">
            <w:pPr>
              <w:tabs>
                <w:tab w:val="left" w:pos="851"/>
                <w:tab w:val="left" w:pos="993"/>
              </w:tabs>
            </w:pPr>
            <w:r w:rsidRPr="00F41519">
              <w:t>АТ “Укрексімбанк”</w:t>
            </w:r>
          </w:p>
        </w:tc>
      </w:tr>
      <w:tr w:rsidR="00F41519" w:rsidRPr="00F41519" w:rsidTr="001C1266">
        <w:tc>
          <w:tcPr>
            <w:tcW w:w="988" w:type="dxa"/>
            <w:vAlign w:val="center"/>
          </w:tcPr>
          <w:p w:rsidR="00D231E0" w:rsidRPr="00F41519" w:rsidRDefault="00D231E0" w:rsidP="00D231E0">
            <w:pPr>
              <w:pStyle w:val="af3"/>
              <w:numPr>
                <w:ilvl w:val="0"/>
                <w:numId w:val="24"/>
              </w:numPr>
              <w:ind w:hanging="402"/>
              <w:jc w:val="center"/>
            </w:pPr>
          </w:p>
        </w:tc>
        <w:tc>
          <w:tcPr>
            <w:tcW w:w="8505" w:type="dxa"/>
          </w:tcPr>
          <w:p w:rsidR="00D231E0" w:rsidRPr="00F41519" w:rsidRDefault="00D231E0" w:rsidP="00D231E0">
            <w:pPr>
              <w:tabs>
                <w:tab w:val="left" w:pos="851"/>
                <w:tab w:val="left" w:pos="993"/>
              </w:tabs>
            </w:pPr>
            <w:r w:rsidRPr="00F41519">
              <w:t>АБ “УКРГАЗБАНК”</w:t>
            </w:r>
          </w:p>
        </w:tc>
      </w:tr>
      <w:tr w:rsidR="00F41519" w:rsidRPr="00F41519" w:rsidTr="001C1266">
        <w:tc>
          <w:tcPr>
            <w:tcW w:w="988" w:type="dxa"/>
            <w:vAlign w:val="center"/>
          </w:tcPr>
          <w:p w:rsidR="00D231E0" w:rsidRPr="00F41519" w:rsidRDefault="00D231E0" w:rsidP="00D231E0">
            <w:pPr>
              <w:pStyle w:val="af3"/>
              <w:numPr>
                <w:ilvl w:val="0"/>
                <w:numId w:val="24"/>
              </w:numPr>
              <w:ind w:hanging="402"/>
              <w:jc w:val="center"/>
            </w:pPr>
          </w:p>
        </w:tc>
        <w:tc>
          <w:tcPr>
            <w:tcW w:w="8505" w:type="dxa"/>
          </w:tcPr>
          <w:p w:rsidR="00D231E0" w:rsidRPr="00F41519" w:rsidRDefault="00D231E0" w:rsidP="00D231E0">
            <w:pPr>
              <w:tabs>
                <w:tab w:val="left" w:pos="851"/>
                <w:tab w:val="left" w:pos="993"/>
              </w:tabs>
            </w:pPr>
            <w:r w:rsidRPr="00F41519">
              <w:t>АТ “ОТП БАНК”</w:t>
            </w:r>
          </w:p>
        </w:tc>
      </w:tr>
      <w:tr w:rsidR="00F41519" w:rsidRPr="00F41519" w:rsidTr="001C1266">
        <w:tc>
          <w:tcPr>
            <w:tcW w:w="988" w:type="dxa"/>
            <w:vAlign w:val="center"/>
          </w:tcPr>
          <w:p w:rsidR="00D231E0" w:rsidRPr="00F41519" w:rsidRDefault="00D231E0" w:rsidP="00D231E0">
            <w:pPr>
              <w:pStyle w:val="af3"/>
              <w:numPr>
                <w:ilvl w:val="0"/>
                <w:numId w:val="24"/>
              </w:numPr>
              <w:ind w:hanging="402"/>
              <w:jc w:val="center"/>
            </w:pPr>
          </w:p>
        </w:tc>
        <w:tc>
          <w:tcPr>
            <w:tcW w:w="8505" w:type="dxa"/>
          </w:tcPr>
          <w:p w:rsidR="00D231E0" w:rsidRPr="00F41519" w:rsidRDefault="00D231E0" w:rsidP="00D231E0">
            <w:pPr>
              <w:tabs>
                <w:tab w:val="left" w:pos="851"/>
                <w:tab w:val="left" w:pos="993"/>
              </w:tabs>
            </w:pPr>
            <w:r w:rsidRPr="00F41519">
              <w:t>АТ “УКРСИББАНК”</w:t>
            </w:r>
          </w:p>
        </w:tc>
      </w:tr>
      <w:tr w:rsidR="00F41519" w:rsidRPr="00F41519" w:rsidTr="001C1266">
        <w:tc>
          <w:tcPr>
            <w:tcW w:w="988" w:type="dxa"/>
            <w:vAlign w:val="center"/>
          </w:tcPr>
          <w:p w:rsidR="00D231E0" w:rsidRPr="00F41519" w:rsidRDefault="00D231E0" w:rsidP="00D231E0">
            <w:pPr>
              <w:pStyle w:val="af3"/>
              <w:numPr>
                <w:ilvl w:val="0"/>
                <w:numId w:val="24"/>
              </w:numPr>
              <w:ind w:hanging="402"/>
              <w:jc w:val="center"/>
            </w:pPr>
          </w:p>
        </w:tc>
        <w:tc>
          <w:tcPr>
            <w:tcW w:w="8505" w:type="dxa"/>
          </w:tcPr>
          <w:p w:rsidR="00D231E0" w:rsidRPr="00F41519" w:rsidRDefault="00D231E0" w:rsidP="00D231E0">
            <w:pPr>
              <w:tabs>
                <w:tab w:val="left" w:pos="851"/>
                <w:tab w:val="left" w:pos="993"/>
              </w:tabs>
            </w:pPr>
            <w:r w:rsidRPr="00F41519">
              <w:t>АТ “КРЕДІ АГРІКОЛЬ БАНК”</w:t>
            </w:r>
          </w:p>
        </w:tc>
      </w:tr>
      <w:tr w:rsidR="00F41519" w:rsidRPr="00F41519" w:rsidTr="001C1266">
        <w:tc>
          <w:tcPr>
            <w:tcW w:w="988" w:type="dxa"/>
            <w:vAlign w:val="center"/>
          </w:tcPr>
          <w:p w:rsidR="00D231E0" w:rsidRPr="00F41519" w:rsidRDefault="00D231E0" w:rsidP="00D231E0">
            <w:pPr>
              <w:pStyle w:val="af3"/>
              <w:numPr>
                <w:ilvl w:val="0"/>
                <w:numId w:val="24"/>
              </w:numPr>
              <w:ind w:hanging="402"/>
              <w:jc w:val="center"/>
            </w:pPr>
          </w:p>
        </w:tc>
        <w:tc>
          <w:tcPr>
            <w:tcW w:w="8505" w:type="dxa"/>
          </w:tcPr>
          <w:p w:rsidR="00D231E0" w:rsidRPr="00F41519" w:rsidRDefault="00D231E0" w:rsidP="00D231E0">
            <w:pPr>
              <w:tabs>
                <w:tab w:val="left" w:pos="851"/>
                <w:tab w:val="left" w:pos="993"/>
              </w:tabs>
            </w:pPr>
            <w:r w:rsidRPr="00F41519">
              <w:t>АТ “КРЕДОБАНК”</w:t>
            </w:r>
          </w:p>
        </w:tc>
      </w:tr>
      <w:tr w:rsidR="00F41519" w:rsidRPr="00F41519" w:rsidTr="001C1266">
        <w:tc>
          <w:tcPr>
            <w:tcW w:w="988" w:type="dxa"/>
            <w:vAlign w:val="center"/>
          </w:tcPr>
          <w:p w:rsidR="00D231E0" w:rsidRPr="00F41519" w:rsidRDefault="00D231E0" w:rsidP="00D231E0">
            <w:pPr>
              <w:pStyle w:val="af3"/>
              <w:numPr>
                <w:ilvl w:val="0"/>
                <w:numId w:val="24"/>
              </w:numPr>
              <w:ind w:hanging="402"/>
              <w:jc w:val="center"/>
            </w:pPr>
          </w:p>
        </w:tc>
        <w:tc>
          <w:tcPr>
            <w:tcW w:w="8505" w:type="dxa"/>
          </w:tcPr>
          <w:p w:rsidR="00D231E0" w:rsidRPr="00F41519" w:rsidRDefault="00D231E0" w:rsidP="00D231E0">
            <w:pPr>
              <w:tabs>
                <w:tab w:val="left" w:pos="851"/>
                <w:tab w:val="left" w:pos="993"/>
              </w:tabs>
            </w:pPr>
            <w:r w:rsidRPr="00F41519">
              <w:t>АТ “А-БАНК”</w:t>
            </w:r>
          </w:p>
        </w:tc>
      </w:tr>
      <w:tr w:rsidR="00F41519" w:rsidRPr="00F41519" w:rsidTr="001C1266">
        <w:tc>
          <w:tcPr>
            <w:tcW w:w="988" w:type="dxa"/>
            <w:vAlign w:val="center"/>
          </w:tcPr>
          <w:p w:rsidR="00D231E0" w:rsidRPr="00F41519" w:rsidRDefault="00D231E0" w:rsidP="00D231E0">
            <w:pPr>
              <w:pStyle w:val="af3"/>
              <w:numPr>
                <w:ilvl w:val="0"/>
                <w:numId w:val="24"/>
              </w:numPr>
              <w:ind w:hanging="402"/>
              <w:jc w:val="center"/>
            </w:pPr>
          </w:p>
        </w:tc>
        <w:tc>
          <w:tcPr>
            <w:tcW w:w="8505" w:type="dxa"/>
          </w:tcPr>
          <w:p w:rsidR="00D231E0" w:rsidRPr="00F41519" w:rsidRDefault="00D231E0" w:rsidP="00D231E0">
            <w:pPr>
              <w:tabs>
                <w:tab w:val="left" w:pos="851"/>
                <w:tab w:val="left" w:pos="993"/>
              </w:tabs>
            </w:pPr>
            <w:r w:rsidRPr="00F41519">
              <w:t>АТ “ТАСКОМБАНК”</w:t>
            </w:r>
          </w:p>
        </w:tc>
      </w:tr>
      <w:tr w:rsidR="00F41519" w:rsidRPr="00F41519" w:rsidTr="001C1266">
        <w:tc>
          <w:tcPr>
            <w:tcW w:w="988" w:type="dxa"/>
            <w:vAlign w:val="center"/>
          </w:tcPr>
          <w:p w:rsidR="00D231E0" w:rsidRPr="00F41519" w:rsidRDefault="00D231E0" w:rsidP="00D231E0">
            <w:pPr>
              <w:pStyle w:val="af3"/>
              <w:numPr>
                <w:ilvl w:val="0"/>
                <w:numId w:val="24"/>
              </w:numPr>
              <w:ind w:hanging="402"/>
              <w:jc w:val="center"/>
            </w:pPr>
          </w:p>
        </w:tc>
        <w:tc>
          <w:tcPr>
            <w:tcW w:w="8505" w:type="dxa"/>
          </w:tcPr>
          <w:p w:rsidR="00D231E0" w:rsidRPr="00F41519" w:rsidRDefault="00D231E0" w:rsidP="00D231E0">
            <w:pPr>
              <w:tabs>
                <w:tab w:val="left" w:pos="851"/>
                <w:tab w:val="left" w:pos="993"/>
              </w:tabs>
            </w:pPr>
            <w:r w:rsidRPr="00F41519">
              <w:t>АТ “</w:t>
            </w:r>
            <w:proofErr w:type="spellStart"/>
            <w:r w:rsidRPr="00F41519">
              <w:t>ПроКредит</w:t>
            </w:r>
            <w:proofErr w:type="spellEnd"/>
            <w:r w:rsidRPr="00F41519">
              <w:t xml:space="preserve"> Банк”</w:t>
            </w:r>
          </w:p>
        </w:tc>
      </w:tr>
      <w:tr w:rsidR="00F41519" w:rsidRPr="00F41519" w:rsidTr="001C1266">
        <w:tc>
          <w:tcPr>
            <w:tcW w:w="988" w:type="dxa"/>
            <w:vAlign w:val="center"/>
          </w:tcPr>
          <w:p w:rsidR="00D231E0" w:rsidRPr="00F41519" w:rsidRDefault="00D231E0" w:rsidP="00D231E0">
            <w:pPr>
              <w:pStyle w:val="af3"/>
              <w:numPr>
                <w:ilvl w:val="0"/>
                <w:numId w:val="24"/>
              </w:numPr>
              <w:ind w:hanging="402"/>
              <w:jc w:val="center"/>
            </w:pPr>
          </w:p>
        </w:tc>
        <w:tc>
          <w:tcPr>
            <w:tcW w:w="8505" w:type="dxa"/>
          </w:tcPr>
          <w:p w:rsidR="00D231E0" w:rsidRPr="00F41519" w:rsidRDefault="00D231E0" w:rsidP="00D231E0">
            <w:pPr>
              <w:tabs>
                <w:tab w:val="left" w:pos="851"/>
                <w:tab w:val="left" w:pos="993"/>
              </w:tabs>
            </w:pPr>
            <w:r w:rsidRPr="00F41519">
              <w:t>Акціонерний банк “Південний”</w:t>
            </w:r>
          </w:p>
        </w:tc>
      </w:tr>
      <w:tr w:rsidR="00F41519" w:rsidRPr="00F41519" w:rsidTr="001C1266">
        <w:tc>
          <w:tcPr>
            <w:tcW w:w="988" w:type="dxa"/>
            <w:vAlign w:val="center"/>
          </w:tcPr>
          <w:p w:rsidR="00D231E0" w:rsidRPr="00F41519" w:rsidRDefault="00D231E0" w:rsidP="00D231E0">
            <w:pPr>
              <w:pStyle w:val="af3"/>
              <w:numPr>
                <w:ilvl w:val="0"/>
                <w:numId w:val="24"/>
              </w:numPr>
              <w:ind w:hanging="402"/>
              <w:jc w:val="center"/>
            </w:pPr>
          </w:p>
        </w:tc>
        <w:tc>
          <w:tcPr>
            <w:tcW w:w="8505" w:type="dxa"/>
          </w:tcPr>
          <w:p w:rsidR="00D231E0" w:rsidRPr="00F41519" w:rsidRDefault="00D231E0" w:rsidP="00D231E0">
            <w:pPr>
              <w:tabs>
                <w:tab w:val="left" w:pos="851"/>
                <w:tab w:val="left" w:pos="993"/>
              </w:tabs>
            </w:pPr>
            <w:r w:rsidRPr="00F41519">
              <w:t>АТ “БАНК КРЕДИТ ДНІПРО”</w:t>
            </w:r>
          </w:p>
        </w:tc>
      </w:tr>
      <w:tr w:rsidR="00F41519" w:rsidRPr="00F41519" w:rsidTr="001C1266">
        <w:tc>
          <w:tcPr>
            <w:tcW w:w="988" w:type="dxa"/>
            <w:vAlign w:val="center"/>
          </w:tcPr>
          <w:p w:rsidR="00D231E0" w:rsidRPr="00F41519" w:rsidRDefault="00D231E0" w:rsidP="00D231E0">
            <w:pPr>
              <w:pStyle w:val="af3"/>
              <w:numPr>
                <w:ilvl w:val="0"/>
                <w:numId w:val="24"/>
              </w:numPr>
              <w:ind w:hanging="402"/>
              <w:jc w:val="center"/>
            </w:pPr>
          </w:p>
        </w:tc>
        <w:tc>
          <w:tcPr>
            <w:tcW w:w="8505" w:type="dxa"/>
          </w:tcPr>
          <w:p w:rsidR="00D231E0" w:rsidRPr="00F41519" w:rsidRDefault="00D231E0" w:rsidP="00D231E0">
            <w:pPr>
              <w:tabs>
                <w:tab w:val="left" w:pos="851"/>
                <w:tab w:val="left" w:pos="993"/>
              </w:tabs>
            </w:pPr>
            <w:r w:rsidRPr="00F41519">
              <w:t>ПАТ “БАНК ВОСТОК”</w:t>
            </w:r>
          </w:p>
        </w:tc>
      </w:tr>
      <w:tr w:rsidR="00F41519" w:rsidRPr="00F41519" w:rsidTr="001C1266">
        <w:tc>
          <w:tcPr>
            <w:tcW w:w="988" w:type="dxa"/>
            <w:vAlign w:val="center"/>
          </w:tcPr>
          <w:p w:rsidR="00D231E0" w:rsidRPr="00F41519" w:rsidRDefault="00D231E0" w:rsidP="00D231E0">
            <w:pPr>
              <w:pStyle w:val="af3"/>
              <w:numPr>
                <w:ilvl w:val="0"/>
                <w:numId w:val="24"/>
              </w:numPr>
              <w:ind w:hanging="402"/>
              <w:jc w:val="center"/>
            </w:pPr>
          </w:p>
        </w:tc>
        <w:tc>
          <w:tcPr>
            <w:tcW w:w="8505" w:type="dxa"/>
          </w:tcPr>
          <w:p w:rsidR="00D231E0" w:rsidRPr="00F41519" w:rsidRDefault="00D231E0" w:rsidP="00D231E0">
            <w:r w:rsidRPr="00F41519">
              <w:t>ПАТ “МТБ БАНК”</w:t>
            </w:r>
          </w:p>
        </w:tc>
      </w:tr>
      <w:tr w:rsidR="00D231E0" w:rsidRPr="00F41519" w:rsidTr="001C1266">
        <w:tc>
          <w:tcPr>
            <w:tcW w:w="988" w:type="dxa"/>
            <w:vAlign w:val="center"/>
          </w:tcPr>
          <w:p w:rsidR="00D231E0" w:rsidRPr="00F41519" w:rsidRDefault="00D231E0" w:rsidP="00D231E0">
            <w:pPr>
              <w:pStyle w:val="af3"/>
              <w:numPr>
                <w:ilvl w:val="0"/>
                <w:numId w:val="24"/>
              </w:numPr>
              <w:ind w:hanging="402"/>
              <w:jc w:val="center"/>
            </w:pPr>
          </w:p>
        </w:tc>
        <w:tc>
          <w:tcPr>
            <w:tcW w:w="8505" w:type="dxa"/>
          </w:tcPr>
          <w:p w:rsidR="00D231E0" w:rsidRPr="00F41519" w:rsidRDefault="00D231E0" w:rsidP="00D231E0">
            <w:r w:rsidRPr="00F41519">
              <w:t>АТ “ПРАВЕКС БАНК”</w:t>
            </w:r>
          </w:p>
        </w:tc>
      </w:tr>
    </w:tbl>
    <w:p w:rsidR="00CD23B7" w:rsidRPr="00F41519" w:rsidRDefault="00CD23B7" w:rsidP="00CD23B7">
      <w:pPr>
        <w:pStyle w:val="ParagraphNumbering"/>
        <w:tabs>
          <w:tab w:val="left" w:pos="567"/>
          <w:tab w:val="left" w:pos="993"/>
        </w:tabs>
        <w:spacing w:after="0"/>
        <w:ind w:right="-57"/>
        <w:jc w:val="both"/>
        <w:rPr>
          <w:bCs/>
          <w:sz w:val="28"/>
          <w:szCs w:val="28"/>
          <w:lang w:val="uk-UA" w:eastAsia="ru-RU"/>
        </w:rPr>
      </w:pPr>
    </w:p>
    <w:p w:rsidR="00CD23B7" w:rsidRPr="00F41519" w:rsidRDefault="00CD23B7" w:rsidP="00CD23B7">
      <w:pPr>
        <w:pStyle w:val="ParagraphNumbering"/>
        <w:tabs>
          <w:tab w:val="left" w:pos="567"/>
          <w:tab w:val="left" w:pos="993"/>
        </w:tabs>
        <w:spacing w:after="0"/>
        <w:ind w:right="-57"/>
        <w:jc w:val="both"/>
        <w:rPr>
          <w:bCs/>
          <w:sz w:val="28"/>
          <w:szCs w:val="28"/>
          <w:lang w:val="uk-UA" w:eastAsia="ru-RU"/>
        </w:rPr>
      </w:pPr>
    </w:p>
    <w:p w:rsidR="00CD23B7" w:rsidRPr="00F41519" w:rsidRDefault="00CD23B7" w:rsidP="00CD23B7">
      <w:pPr>
        <w:pStyle w:val="ParagraphNumbering"/>
        <w:tabs>
          <w:tab w:val="left" w:pos="567"/>
          <w:tab w:val="left" w:pos="993"/>
        </w:tabs>
        <w:spacing w:after="0"/>
        <w:ind w:right="-57"/>
        <w:jc w:val="both"/>
        <w:rPr>
          <w:bCs/>
          <w:sz w:val="28"/>
          <w:szCs w:val="28"/>
          <w:lang w:val="uk-UA" w:eastAsia="ru-RU"/>
        </w:rPr>
      </w:pPr>
    </w:p>
    <w:p w:rsidR="00CD23B7" w:rsidRPr="00F41519" w:rsidRDefault="00CD23B7" w:rsidP="00CD23B7">
      <w:pPr>
        <w:pStyle w:val="ParagraphNumbering"/>
        <w:tabs>
          <w:tab w:val="left" w:pos="567"/>
          <w:tab w:val="left" w:pos="993"/>
        </w:tabs>
        <w:spacing w:after="0"/>
        <w:ind w:right="-57"/>
        <w:jc w:val="both"/>
        <w:rPr>
          <w:bCs/>
          <w:sz w:val="28"/>
          <w:szCs w:val="28"/>
          <w:lang w:val="uk-UA" w:eastAsia="ru-RU"/>
        </w:rPr>
        <w:sectPr w:rsidR="00CD23B7" w:rsidRPr="00F41519" w:rsidSect="0022297B">
          <w:headerReference w:type="first" r:id="rId19"/>
          <w:pgSz w:w="11906" w:h="16838" w:code="9"/>
          <w:pgMar w:top="993" w:right="567" w:bottom="1701" w:left="1701" w:header="709" w:footer="709" w:gutter="0"/>
          <w:pgNumType w:start="1"/>
          <w:cols w:space="708"/>
          <w:titlePg/>
          <w:docGrid w:linePitch="381"/>
        </w:sectPr>
      </w:pPr>
    </w:p>
    <w:p w:rsidR="00314B8A" w:rsidRPr="00F41519" w:rsidRDefault="009535B8" w:rsidP="007A2E16">
      <w:pPr>
        <w:ind w:left="5670"/>
      </w:pPr>
      <w:r w:rsidRPr="00F41519">
        <w:rPr>
          <w:rFonts w:eastAsiaTheme="minorEastAsia"/>
        </w:rPr>
        <w:lastRenderedPageBreak/>
        <w:t>ЗАТВЕРДЖЕНО</w:t>
      </w:r>
      <w:r w:rsidRPr="00F41519">
        <w:rPr>
          <w:rFonts w:eastAsiaTheme="minorEastAsia"/>
        </w:rPr>
        <w:br/>
        <w:t>Постанова Правління Національного банку України</w:t>
      </w:r>
      <w:r w:rsidRPr="00F41519">
        <w:rPr>
          <w:rFonts w:eastAsiaTheme="minorEastAsia"/>
        </w:rPr>
        <w:br/>
      </w:r>
      <w:r w:rsidR="00787452" w:rsidRPr="00787452">
        <w:rPr>
          <w:lang w:val="ru-RU"/>
        </w:rPr>
        <w:t xml:space="preserve">25 </w:t>
      </w:r>
      <w:r w:rsidR="00787452">
        <w:t>квітня 2023 року № 56</w:t>
      </w:r>
      <w:bookmarkStart w:id="0" w:name="_GoBack"/>
      <w:bookmarkEnd w:id="0"/>
    </w:p>
    <w:p w:rsidR="00314B8A" w:rsidRPr="00F41519" w:rsidRDefault="00314B8A" w:rsidP="007A2E16">
      <w:pPr>
        <w:ind w:left="5670"/>
      </w:pPr>
    </w:p>
    <w:p w:rsidR="00314B8A" w:rsidRPr="00F41519" w:rsidRDefault="00314B8A" w:rsidP="00314B8A">
      <w:pPr>
        <w:jc w:val="center"/>
      </w:pPr>
    </w:p>
    <w:p w:rsidR="00314B8A" w:rsidRPr="00F41519" w:rsidRDefault="00834626" w:rsidP="00314B8A">
      <w:pPr>
        <w:jc w:val="center"/>
      </w:pPr>
      <w:r w:rsidRPr="00F41519">
        <w:t>Правила</w:t>
      </w:r>
      <w:r w:rsidR="00314B8A" w:rsidRPr="00F41519">
        <w:t xml:space="preserve"> здійснення оцінки стійкості </w:t>
      </w:r>
    </w:p>
    <w:p w:rsidR="00314B8A" w:rsidRPr="00F41519" w:rsidRDefault="00314B8A" w:rsidP="00314B8A">
      <w:pPr>
        <w:jc w:val="center"/>
      </w:pPr>
      <w:r w:rsidRPr="00F41519">
        <w:t>банків і банківської системи України</w:t>
      </w:r>
      <w:r w:rsidR="009535B8" w:rsidRPr="00F41519">
        <w:t xml:space="preserve"> </w:t>
      </w:r>
      <w:r w:rsidR="00874B5C" w:rsidRPr="00F41519">
        <w:t>в</w:t>
      </w:r>
      <w:r w:rsidR="009535B8" w:rsidRPr="00F41519">
        <w:t xml:space="preserve"> 2023 році</w:t>
      </w:r>
    </w:p>
    <w:p w:rsidR="0057068E" w:rsidRPr="00F41519" w:rsidRDefault="0057068E" w:rsidP="00314B8A">
      <w:pPr>
        <w:jc w:val="center"/>
      </w:pPr>
    </w:p>
    <w:p w:rsidR="0057068E" w:rsidRPr="00F41519" w:rsidRDefault="0057068E" w:rsidP="00314B8A">
      <w:pPr>
        <w:jc w:val="center"/>
        <w:rPr>
          <w:bCs/>
        </w:rPr>
      </w:pPr>
      <w:r w:rsidRPr="00F41519">
        <w:rPr>
          <w:bCs/>
        </w:rPr>
        <w:t>І. Загальні положення</w:t>
      </w:r>
    </w:p>
    <w:p w:rsidR="0057068E" w:rsidRPr="00F41519" w:rsidRDefault="0057068E" w:rsidP="00314B8A">
      <w:pPr>
        <w:jc w:val="center"/>
        <w:rPr>
          <w:bCs/>
        </w:rPr>
      </w:pPr>
    </w:p>
    <w:p w:rsidR="00CD23B7" w:rsidRPr="00020763" w:rsidRDefault="00CD23B7" w:rsidP="00020763">
      <w:pPr>
        <w:ind w:firstLine="567"/>
      </w:pPr>
      <w:r w:rsidRPr="00020763">
        <w:t xml:space="preserve">1. </w:t>
      </w:r>
      <w:r w:rsidR="00834626" w:rsidRPr="00020763">
        <w:t>Ці</w:t>
      </w:r>
      <w:r w:rsidRPr="00020763">
        <w:t xml:space="preserve"> </w:t>
      </w:r>
      <w:r w:rsidR="00834626" w:rsidRPr="00020763">
        <w:t>Правила розроблені</w:t>
      </w:r>
      <w:r w:rsidR="00D512DB" w:rsidRPr="00020763">
        <w:t xml:space="preserve"> відповідно до </w:t>
      </w:r>
      <w:r w:rsidR="0009252C" w:rsidRPr="00020763">
        <w:t>З</w:t>
      </w:r>
      <w:r w:rsidRPr="00020763">
        <w:t>аконів України “Про Національний банк України”, “Про банки і банківську діяльність”,</w:t>
      </w:r>
      <w:r w:rsidR="002400C1" w:rsidRPr="00020763">
        <w:t xml:space="preserve"> </w:t>
      </w:r>
      <w:r w:rsidRPr="00020763">
        <w:t>інших законодавчих актів України та нормативно-правових актів Національного банку України (далі – Національний банк) з питань нагляду та регулювання діяльності банків.</w:t>
      </w:r>
      <w:r w:rsidR="00BC485F" w:rsidRPr="00020763">
        <w:t xml:space="preserve"> </w:t>
      </w:r>
    </w:p>
    <w:p w:rsidR="00B02533" w:rsidRPr="00020763" w:rsidRDefault="00B02533" w:rsidP="00020763">
      <w:pPr>
        <w:ind w:firstLine="567"/>
      </w:pPr>
    </w:p>
    <w:p w:rsidR="00E375EB" w:rsidRPr="00020763" w:rsidRDefault="002400C1" w:rsidP="00020763">
      <w:pPr>
        <w:ind w:firstLine="567"/>
      </w:pPr>
      <w:r w:rsidRPr="00020763">
        <w:t xml:space="preserve">2. </w:t>
      </w:r>
      <w:r w:rsidR="00834626" w:rsidRPr="00020763">
        <w:t>Ці</w:t>
      </w:r>
      <w:r w:rsidR="00B02533" w:rsidRPr="00020763">
        <w:t xml:space="preserve"> </w:t>
      </w:r>
      <w:r w:rsidR="00834626" w:rsidRPr="00020763">
        <w:t>Правила</w:t>
      </w:r>
      <w:r w:rsidR="00B02533" w:rsidRPr="00020763">
        <w:t xml:space="preserve"> </w:t>
      </w:r>
      <w:r w:rsidR="00E375EB" w:rsidRPr="00020763">
        <w:t>ґрунтуються на Положенні про здійснення оцінки стійкості банків і банківської системи України, затвердженому постановою Правління Національного банку України від 22 грудня 2017 року №</w:t>
      </w:r>
      <w:r w:rsidR="00E375EB" w:rsidRPr="00020763">
        <w:rPr>
          <w:bCs/>
        </w:rPr>
        <w:t> </w:t>
      </w:r>
      <w:r w:rsidR="00E375EB" w:rsidRPr="00020763">
        <w:t>141 (зі змінами) (далі – Положення №</w:t>
      </w:r>
      <w:r w:rsidR="00E375EB" w:rsidRPr="00020763">
        <w:rPr>
          <w:bCs/>
        </w:rPr>
        <w:t> </w:t>
      </w:r>
      <w:r w:rsidR="00E375EB" w:rsidRPr="00020763">
        <w:t xml:space="preserve">141), та </w:t>
      </w:r>
      <w:r w:rsidR="00834626" w:rsidRPr="00020763">
        <w:rPr>
          <w:bCs/>
        </w:rPr>
        <w:t>встановлюють</w:t>
      </w:r>
      <w:r w:rsidR="00B02533" w:rsidRPr="00020763">
        <w:t xml:space="preserve"> особливості здійснення Національним банком </w:t>
      </w:r>
      <w:r w:rsidR="00426828" w:rsidRPr="00020763">
        <w:t xml:space="preserve">у період дії воєнного стану в Україні </w:t>
      </w:r>
      <w:r w:rsidR="00E375EB" w:rsidRPr="00020763">
        <w:t xml:space="preserve">оцінки стійкості банків </w:t>
      </w:r>
      <w:r w:rsidR="005950C7" w:rsidRPr="00020763">
        <w:t xml:space="preserve">і банківської системи України </w:t>
      </w:r>
      <w:r w:rsidR="00B02533" w:rsidRPr="00020763">
        <w:t>у</w:t>
      </w:r>
      <w:r w:rsidR="00E63728" w:rsidRPr="00020763">
        <w:rPr>
          <w:bCs/>
        </w:rPr>
        <w:t xml:space="preserve"> </w:t>
      </w:r>
      <w:r w:rsidR="00B02533" w:rsidRPr="00020763">
        <w:t>2023 році</w:t>
      </w:r>
      <w:r w:rsidR="00E375EB" w:rsidRPr="00020763">
        <w:t xml:space="preserve">. </w:t>
      </w:r>
    </w:p>
    <w:p w:rsidR="00B02533" w:rsidRPr="00020763" w:rsidRDefault="00E375EB" w:rsidP="00020763">
      <w:pPr>
        <w:ind w:firstLine="567"/>
      </w:pPr>
      <w:r w:rsidRPr="00020763">
        <w:t xml:space="preserve">Ці Правила визначають порядок здійснення Національним банком </w:t>
      </w:r>
      <w:r w:rsidR="00B02533" w:rsidRPr="00020763">
        <w:t>оцінки якості активних банківських операцій</w:t>
      </w:r>
      <w:r w:rsidR="00FB3AAF" w:rsidRPr="00020763">
        <w:t xml:space="preserve"> </w:t>
      </w:r>
      <w:r w:rsidRPr="00020763">
        <w:t>(далі – активи),</w:t>
      </w:r>
      <w:r w:rsidR="00B02533" w:rsidRPr="00020763">
        <w:t xml:space="preserve"> прийнятності забезпечення за кредитними операціями,</w:t>
      </w:r>
      <w:r w:rsidR="00D81897" w:rsidRPr="00020763">
        <w:t xml:space="preserve"> перевірки оцінки вартості майна,</w:t>
      </w:r>
      <w:r w:rsidR="00B02533" w:rsidRPr="00020763">
        <w:t xml:space="preserve"> </w:t>
      </w:r>
      <w:r w:rsidR="00B02533" w:rsidRPr="00020763">
        <w:rPr>
          <w:bCs/>
          <w:lang w:eastAsia="ru-RU"/>
        </w:rPr>
        <w:t xml:space="preserve">визначення </w:t>
      </w:r>
      <w:r w:rsidR="00B02533" w:rsidRPr="00020763">
        <w:t>достатності (адекватності) регулятивного капіталу, достатності основного капіталу (далі – до</w:t>
      </w:r>
      <w:r w:rsidR="00C97CAA" w:rsidRPr="00020763">
        <w:t>статність капіталу), необхідних рівнів</w:t>
      </w:r>
      <w:r w:rsidR="00B02533" w:rsidRPr="00020763">
        <w:t xml:space="preserve"> нормативів достатності капіталу з метою сприяння фінансовій стабільності, уключаючи стабільність банківської системи України, шляхом оцінки стійкості банків і банківської системи України до несприятливих змін у макроекономічному середовищі</w:t>
      </w:r>
      <w:r w:rsidR="003E67C8" w:rsidRPr="00020763">
        <w:t xml:space="preserve"> </w:t>
      </w:r>
      <w:r w:rsidR="00C170D8">
        <w:t>в</w:t>
      </w:r>
      <w:r w:rsidR="00C170D8" w:rsidRPr="00020763">
        <w:t xml:space="preserve"> </w:t>
      </w:r>
      <w:r w:rsidR="003E67C8" w:rsidRPr="00020763">
        <w:t>період дії воєнного стану в Україні</w:t>
      </w:r>
      <w:r w:rsidR="00B02533" w:rsidRPr="00020763">
        <w:t>.</w:t>
      </w:r>
    </w:p>
    <w:p w:rsidR="00314B8A" w:rsidRPr="00020763" w:rsidRDefault="00314B8A" w:rsidP="00020763">
      <w:pPr>
        <w:ind w:firstLine="567"/>
        <w:jc w:val="center"/>
      </w:pPr>
    </w:p>
    <w:p w:rsidR="00CC7FD0" w:rsidRPr="00020763" w:rsidRDefault="00CC7FD0" w:rsidP="00020763">
      <w:pPr>
        <w:tabs>
          <w:tab w:val="left" w:pos="851"/>
        </w:tabs>
        <w:ind w:firstLine="567"/>
      </w:pPr>
      <w:r w:rsidRPr="00020763">
        <w:t>3. Терміни</w:t>
      </w:r>
      <w:r w:rsidR="00BC5AB1" w:rsidRPr="00020763">
        <w:t xml:space="preserve"> та скорочення</w:t>
      </w:r>
      <w:r w:rsidR="00A464FC" w:rsidRPr="00020763">
        <w:t xml:space="preserve"> </w:t>
      </w:r>
      <w:r w:rsidR="00A464FC" w:rsidRPr="00020763">
        <w:rPr>
          <w:lang w:eastAsia="ru-RU"/>
        </w:rPr>
        <w:t xml:space="preserve">в </w:t>
      </w:r>
      <w:r w:rsidR="00834626" w:rsidRPr="00020763">
        <w:rPr>
          <w:lang w:eastAsia="ru-RU"/>
        </w:rPr>
        <w:t>цих</w:t>
      </w:r>
      <w:r w:rsidR="00A464FC" w:rsidRPr="00020763">
        <w:rPr>
          <w:lang w:eastAsia="ru-RU"/>
        </w:rPr>
        <w:t xml:space="preserve"> </w:t>
      </w:r>
      <w:r w:rsidR="00E63728" w:rsidRPr="00020763">
        <w:t>П</w:t>
      </w:r>
      <w:r w:rsidR="00834626" w:rsidRPr="00020763">
        <w:t>равилах</w:t>
      </w:r>
      <w:r w:rsidR="00A464FC" w:rsidRPr="00020763">
        <w:rPr>
          <w:lang w:eastAsia="ru-RU"/>
        </w:rPr>
        <w:t xml:space="preserve"> вживаються в такому значенні</w:t>
      </w:r>
      <w:r w:rsidRPr="00020763">
        <w:t>:</w:t>
      </w:r>
    </w:p>
    <w:p w:rsidR="00CC7FD0" w:rsidRPr="00020763" w:rsidRDefault="00CC7FD0" w:rsidP="00020763">
      <w:pPr>
        <w:tabs>
          <w:tab w:val="left" w:pos="851"/>
        </w:tabs>
        <w:ind w:firstLine="567"/>
      </w:pPr>
    </w:p>
    <w:p w:rsidR="00CD23B7" w:rsidRPr="00020763" w:rsidRDefault="00CD23B7" w:rsidP="00020763">
      <w:pPr>
        <w:tabs>
          <w:tab w:val="left" w:pos="851"/>
        </w:tabs>
        <w:ind w:firstLine="567"/>
        <w:rPr>
          <w:lang w:eastAsia="ru-RU"/>
        </w:rPr>
      </w:pPr>
      <w:r w:rsidRPr="00020763">
        <w:rPr>
          <w:bCs/>
          <w:lang w:eastAsia="ru-RU"/>
        </w:rPr>
        <w:t>1) верифікація звіту</w:t>
      </w:r>
      <w:r w:rsidR="008616D8" w:rsidRPr="00020763">
        <w:rPr>
          <w:shd w:val="clear" w:color="auto" w:fill="FFFFFF"/>
        </w:rPr>
        <w:t xml:space="preserve"> суб’єкта оціночної діяльності</w:t>
      </w:r>
      <w:r w:rsidRPr="00020763">
        <w:rPr>
          <w:bCs/>
          <w:lang w:eastAsia="ru-RU"/>
        </w:rPr>
        <w:t xml:space="preserve">/внутрішньобанківського документа про оцінку майна – проведення Національним банком аналізу звіту </w:t>
      </w:r>
      <w:r w:rsidR="00E530E2" w:rsidRPr="00020763">
        <w:rPr>
          <w:shd w:val="clear" w:color="auto" w:fill="FFFFFF"/>
        </w:rPr>
        <w:t>суб’єкта оціночної діяльності</w:t>
      </w:r>
      <w:r w:rsidRPr="00020763">
        <w:rPr>
          <w:bCs/>
          <w:lang w:eastAsia="ru-RU"/>
        </w:rPr>
        <w:t xml:space="preserve">/внутрішньобанківського документа про оцінку майна </w:t>
      </w:r>
      <w:r w:rsidR="00A6014B" w:rsidRPr="00020763">
        <w:rPr>
          <w:bCs/>
        </w:rPr>
        <w:t>на підставі</w:t>
      </w:r>
      <w:r w:rsidR="00A6014B" w:rsidRPr="00020763">
        <w:rPr>
          <w:b/>
        </w:rPr>
        <w:t xml:space="preserve"> </w:t>
      </w:r>
      <w:r w:rsidR="00A6014B" w:rsidRPr="00020763">
        <w:rPr>
          <w:lang w:eastAsia="ru-RU"/>
        </w:rPr>
        <w:t>судження</w:t>
      </w:r>
      <w:r w:rsidR="00A6014B" w:rsidRPr="00020763">
        <w:rPr>
          <w:bCs/>
          <w:lang w:eastAsia="ru-RU"/>
        </w:rPr>
        <w:t xml:space="preserve"> </w:t>
      </w:r>
      <w:r w:rsidRPr="00020763">
        <w:rPr>
          <w:lang w:eastAsia="ru-RU"/>
        </w:rPr>
        <w:t xml:space="preserve">щодо забезпечення </w:t>
      </w:r>
      <w:r w:rsidRPr="00020763">
        <w:rPr>
          <w:bCs/>
          <w:lang w:eastAsia="ru-RU"/>
        </w:rPr>
        <w:t>об’єктивної, якісної (достовірної) та п</w:t>
      </w:r>
      <w:r w:rsidRPr="00020763">
        <w:rPr>
          <w:lang w:eastAsia="ru-RU"/>
        </w:rPr>
        <w:t>рофесійної оцінки вартості майна</w:t>
      </w:r>
      <w:r w:rsidR="00341770" w:rsidRPr="00020763">
        <w:rPr>
          <w:lang w:eastAsia="ru-RU"/>
        </w:rPr>
        <w:t xml:space="preserve">, яке ґрунтується на вимогах </w:t>
      </w:r>
      <w:r w:rsidR="00316A1B" w:rsidRPr="00020763">
        <w:rPr>
          <w:lang w:eastAsia="ru-RU"/>
        </w:rPr>
        <w:t>законодавства України щодо оцінки майна, включаючи вимоги</w:t>
      </w:r>
      <w:r w:rsidR="00316A1B" w:rsidRPr="00020763">
        <w:rPr>
          <w:shd w:val="clear" w:color="auto" w:fill="FFFFFF"/>
          <w:lang w:eastAsia="ru-RU"/>
        </w:rPr>
        <w:t xml:space="preserve"> </w:t>
      </w:r>
      <w:r w:rsidR="00921D29" w:rsidRPr="00020763">
        <w:rPr>
          <w:shd w:val="clear" w:color="auto" w:fill="FFFFFF"/>
          <w:lang w:eastAsia="ru-RU"/>
        </w:rPr>
        <w:t xml:space="preserve">Національного стандарту № 1 </w:t>
      </w:r>
      <w:r w:rsidR="00921D29" w:rsidRPr="00020763">
        <w:t>“</w:t>
      </w:r>
      <w:r w:rsidR="00921D29" w:rsidRPr="00020763">
        <w:rPr>
          <w:shd w:val="clear" w:color="auto" w:fill="FFFFFF"/>
          <w:lang w:eastAsia="ru-RU"/>
        </w:rPr>
        <w:t>Загальні засади оцінки майна і майнових прав</w:t>
      </w:r>
      <w:r w:rsidR="00921D29" w:rsidRPr="00020763">
        <w:t>”</w:t>
      </w:r>
      <w:r w:rsidR="00CB0240" w:rsidRPr="00020763">
        <w:t>, затверджен</w:t>
      </w:r>
      <w:r w:rsidR="00910C6E" w:rsidRPr="00020763">
        <w:t>ого</w:t>
      </w:r>
      <w:r w:rsidR="00CB0240" w:rsidRPr="00020763">
        <w:t xml:space="preserve"> постановою Кабінету Міністрів України від 10 вересня 2003 року № 1440</w:t>
      </w:r>
      <w:r w:rsidR="00910C6E" w:rsidRPr="00020763">
        <w:t xml:space="preserve"> (зі змінами)</w:t>
      </w:r>
      <w:r w:rsidR="00921D29" w:rsidRPr="00020763">
        <w:t xml:space="preserve"> (далі </w:t>
      </w:r>
      <w:r w:rsidR="001975BF" w:rsidRPr="00020763">
        <w:rPr>
          <w:bCs/>
          <w:lang w:eastAsia="ru-RU"/>
        </w:rPr>
        <w:t>–</w:t>
      </w:r>
      <w:r w:rsidR="00921D29" w:rsidRPr="00020763">
        <w:t xml:space="preserve"> </w:t>
      </w:r>
      <w:r w:rsidR="00921D29" w:rsidRPr="00020763">
        <w:rPr>
          <w:lang w:eastAsia="ru-RU"/>
        </w:rPr>
        <w:t>законодавство України щодо оцінки майна);</w:t>
      </w:r>
    </w:p>
    <w:p w:rsidR="00316A1B" w:rsidRPr="00020763" w:rsidRDefault="00316A1B" w:rsidP="00020763">
      <w:pPr>
        <w:tabs>
          <w:tab w:val="left" w:pos="851"/>
        </w:tabs>
        <w:ind w:firstLine="567"/>
        <w:rPr>
          <w:bCs/>
          <w:lang w:eastAsia="ru-RU"/>
        </w:rPr>
      </w:pPr>
    </w:p>
    <w:p w:rsidR="008865F3" w:rsidRPr="00020763" w:rsidRDefault="00CC7FD0" w:rsidP="00020763">
      <w:pPr>
        <w:tabs>
          <w:tab w:val="left" w:pos="851"/>
        </w:tabs>
        <w:ind w:firstLine="567"/>
      </w:pPr>
      <w:r w:rsidRPr="00020763">
        <w:rPr>
          <w:bCs/>
          <w:lang w:eastAsia="ru-RU"/>
        </w:rPr>
        <w:lastRenderedPageBreak/>
        <w:t xml:space="preserve">2) </w:t>
      </w:r>
      <w:r w:rsidR="008865F3" w:rsidRPr="00020763">
        <w:t xml:space="preserve">власник звіту </w:t>
      </w:r>
      <w:r w:rsidR="0019078E" w:rsidRPr="00020763">
        <w:rPr>
          <w:shd w:val="clear" w:color="auto" w:fill="FFFFFF"/>
        </w:rPr>
        <w:t>суб’єкта оціночної діяльності</w:t>
      </w:r>
      <w:r w:rsidR="008865F3" w:rsidRPr="00020763">
        <w:t xml:space="preserve"> – банк або юридична/фізична особа-</w:t>
      </w:r>
      <w:proofErr w:type="spellStart"/>
      <w:r w:rsidR="008865F3" w:rsidRPr="00020763">
        <w:t>заставодавець</w:t>
      </w:r>
      <w:proofErr w:type="spellEnd"/>
      <w:r w:rsidR="008865F3" w:rsidRPr="00020763">
        <w:t>,</w:t>
      </w:r>
      <w:r w:rsidR="008865F3" w:rsidRPr="00020763">
        <w:rPr>
          <w:bCs/>
        </w:rPr>
        <w:t xml:space="preserve"> </w:t>
      </w:r>
      <w:r w:rsidR="008865F3" w:rsidRPr="00020763">
        <w:t>на</w:t>
      </w:r>
      <w:r w:rsidR="008865F3" w:rsidRPr="00020763">
        <w:rPr>
          <w:bCs/>
          <w:shd w:val="clear" w:color="auto" w:fill="FFFFFF" w:themeFill="background1"/>
          <w:lang w:eastAsia="ru-RU"/>
        </w:rPr>
        <w:t> </w:t>
      </w:r>
      <w:r w:rsidR="008865F3" w:rsidRPr="00020763">
        <w:t xml:space="preserve"> замовлення </w:t>
      </w:r>
      <w:r w:rsidR="0009252C" w:rsidRPr="00020763">
        <w:t xml:space="preserve">якого або </w:t>
      </w:r>
      <w:r w:rsidR="008865F3" w:rsidRPr="00020763">
        <w:t>якої суб’єктом оціночної діяльності здійснено оцінку вартості майна та складено звіт про оцінку майна</w:t>
      </w:r>
      <w:r w:rsidR="008865F3" w:rsidRPr="00020763">
        <w:rPr>
          <w:bCs/>
        </w:rPr>
        <w:t xml:space="preserve"> </w:t>
      </w:r>
      <w:r w:rsidR="008865F3" w:rsidRPr="00020763">
        <w:t xml:space="preserve">відповідно до </w:t>
      </w:r>
      <w:r w:rsidR="008865F3" w:rsidRPr="00020763">
        <w:rPr>
          <w:lang w:eastAsia="ru-RU"/>
        </w:rPr>
        <w:t>законодавства України щодо оцінки майна</w:t>
      </w:r>
      <w:r w:rsidR="008865F3" w:rsidRPr="00020763">
        <w:t>;</w:t>
      </w:r>
    </w:p>
    <w:p w:rsidR="00586D8A" w:rsidRPr="00020763" w:rsidRDefault="00586D8A" w:rsidP="00020763">
      <w:pPr>
        <w:tabs>
          <w:tab w:val="left" w:pos="851"/>
        </w:tabs>
        <w:ind w:firstLine="567"/>
        <w:rPr>
          <w:lang w:eastAsia="ru-RU"/>
        </w:rPr>
      </w:pPr>
    </w:p>
    <w:p w:rsidR="008865F3" w:rsidRPr="00020763" w:rsidRDefault="00FC50D8" w:rsidP="00020763">
      <w:pPr>
        <w:tabs>
          <w:tab w:val="left" w:pos="851"/>
        </w:tabs>
        <w:ind w:firstLine="567"/>
        <w:rPr>
          <w:strike/>
          <w:lang w:eastAsia="ru-RU"/>
        </w:rPr>
      </w:pPr>
      <w:r w:rsidRPr="00020763">
        <w:t xml:space="preserve">3) </w:t>
      </w:r>
      <w:r w:rsidR="008865F3" w:rsidRPr="00020763">
        <w:rPr>
          <w:bCs/>
        </w:rPr>
        <w:t>внутрішньобанківський документ про оцінку майна – внутрішньобанківський документ про оцінку ринкової (справедливої) вартості майна, складений оцінювачем майна</w:t>
      </w:r>
      <w:r w:rsidR="0009252C" w:rsidRPr="00020763">
        <w:rPr>
          <w:bCs/>
        </w:rPr>
        <w:t xml:space="preserve"> − </w:t>
      </w:r>
      <w:r w:rsidR="008865F3" w:rsidRPr="00020763">
        <w:rPr>
          <w:bCs/>
        </w:rPr>
        <w:t>працівником банку;</w:t>
      </w:r>
    </w:p>
    <w:p w:rsidR="00F007C5" w:rsidRPr="00020763" w:rsidRDefault="00F007C5" w:rsidP="00020763">
      <w:pPr>
        <w:tabs>
          <w:tab w:val="left" w:pos="851"/>
        </w:tabs>
        <w:ind w:firstLine="567"/>
      </w:pPr>
    </w:p>
    <w:p w:rsidR="00F007C5" w:rsidRPr="00020763" w:rsidRDefault="00F007C5" w:rsidP="00020763">
      <w:pPr>
        <w:tabs>
          <w:tab w:val="left" w:pos="851"/>
        </w:tabs>
        <w:ind w:firstLine="567"/>
      </w:pPr>
      <w:r w:rsidRPr="00020763">
        <w:t xml:space="preserve">4) звіт </w:t>
      </w:r>
      <w:r w:rsidR="00A16F4D" w:rsidRPr="00020763">
        <w:rPr>
          <w:shd w:val="clear" w:color="auto" w:fill="FFFFFF"/>
        </w:rPr>
        <w:t>суб’єкта оціночної діяльності</w:t>
      </w:r>
      <w:r w:rsidR="00A16F4D" w:rsidRPr="00020763">
        <w:rPr>
          <w:bCs/>
        </w:rPr>
        <w:t xml:space="preserve"> </w:t>
      </w:r>
      <w:r w:rsidRPr="00020763">
        <w:t xml:space="preserve">– звіт </w:t>
      </w:r>
      <w:r w:rsidR="00AF79A7" w:rsidRPr="00020763">
        <w:t xml:space="preserve">суб’єкта оціночної діяльності </w:t>
      </w:r>
      <w:r w:rsidRPr="00020763">
        <w:t>про оцінку майна</w:t>
      </w:r>
      <w:r w:rsidR="007735A2" w:rsidRPr="00020763">
        <w:t>/</w:t>
      </w:r>
      <w:r w:rsidR="00C57877" w:rsidRPr="00020763">
        <w:t>звіт суб’єкта оціночної діяльності з експертної грошової оцінки земельної ділянки</w:t>
      </w:r>
      <w:r w:rsidRPr="00020763">
        <w:rPr>
          <w:bCs/>
        </w:rPr>
        <w:t>;</w:t>
      </w:r>
    </w:p>
    <w:p w:rsidR="00F007C5" w:rsidRPr="00020763" w:rsidRDefault="00F007C5" w:rsidP="00020763">
      <w:pPr>
        <w:tabs>
          <w:tab w:val="left" w:pos="851"/>
        </w:tabs>
        <w:ind w:firstLine="567"/>
      </w:pPr>
    </w:p>
    <w:p w:rsidR="00D5483A" w:rsidRPr="00020763" w:rsidRDefault="00C57877" w:rsidP="00020763">
      <w:pPr>
        <w:tabs>
          <w:tab w:val="left" w:pos="851"/>
        </w:tabs>
        <w:ind w:firstLine="567"/>
      </w:pPr>
      <w:r w:rsidRPr="00020763">
        <w:rPr>
          <w:bCs/>
        </w:rPr>
        <w:t>5</w:t>
      </w:r>
      <w:r w:rsidR="00D5483A" w:rsidRPr="00020763">
        <w:rPr>
          <w:bCs/>
        </w:rPr>
        <w:t xml:space="preserve">) </w:t>
      </w:r>
      <w:r w:rsidR="00D5483A" w:rsidRPr="00020763">
        <w:t xml:space="preserve">звітна дата – </w:t>
      </w:r>
      <w:r w:rsidR="00DD3E14" w:rsidRPr="00020763">
        <w:t>01 квітня 2023 року</w:t>
      </w:r>
      <w:r w:rsidR="00D5483A" w:rsidRPr="00020763">
        <w:t>;</w:t>
      </w:r>
    </w:p>
    <w:p w:rsidR="00E344F8" w:rsidRPr="00020763" w:rsidRDefault="00E344F8" w:rsidP="00020763">
      <w:pPr>
        <w:tabs>
          <w:tab w:val="left" w:pos="851"/>
        </w:tabs>
        <w:ind w:firstLine="567"/>
      </w:pPr>
    </w:p>
    <w:p w:rsidR="00CD23B7" w:rsidRPr="00020763" w:rsidRDefault="00C57877" w:rsidP="00020763">
      <w:pPr>
        <w:tabs>
          <w:tab w:val="left" w:pos="851"/>
        </w:tabs>
        <w:ind w:firstLine="567"/>
      </w:pPr>
      <w:r w:rsidRPr="00020763">
        <w:t>6</w:t>
      </w:r>
      <w:r w:rsidR="00CD23B7" w:rsidRPr="00020763">
        <w:t>) Інструкція №</w:t>
      </w:r>
      <w:r w:rsidR="00B706D2" w:rsidRPr="00020763">
        <w:rPr>
          <w:bCs/>
          <w:shd w:val="clear" w:color="auto" w:fill="FFFFFF" w:themeFill="background1"/>
          <w:lang w:eastAsia="ru-RU"/>
        </w:rPr>
        <w:t> </w:t>
      </w:r>
      <w:r w:rsidR="00CD23B7" w:rsidRPr="00020763">
        <w:t>368 – Інструкція про порядок регулювання діяльності банків в Україні, затверджен</w:t>
      </w:r>
      <w:r w:rsidR="00B706D2" w:rsidRPr="00020763">
        <w:t>а</w:t>
      </w:r>
      <w:r w:rsidR="00CD23B7" w:rsidRPr="00020763">
        <w:t xml:space="preserve"> постановою Правління Національного банку </w:t>
      </w:r>
      <w:r w:rsidR="0009252C" w:rsidRPr="00020763">
        <w:t>України</w:t>
      </w:r>
      <w:r w:rsidR="00020763" w:rsidRPr="00020763">
        <w:t xml:space="preserve"> </w:t>
      </w:r>
      <w:r w:rsidR="00CD23B7" w:rsidRPr="00020763">
        <w:t>від</w:t>
      </w:r>
      <w:r w:rsidR="001151D7" w:rsidRPr="00020763">
        <w:t xml:space="preserve"> </w:t>
      </w:r>
      <w:r w:rsidR="00CD23B7" w:rsidRPr="00020763">
        <w:t>28 серпня 2001 року №</w:t>
      </w:r>
      <w:r w:rsidR="00B706D2" w:rsidRPr="00020763">
        <w:rPr>
          <w:bCs/>
          <w:shd w:val="clear" w:color="auto" w:fill="FFFFFF" w:themeFill="background1"/>
          <w:lang w:eastAsia="ru-RU"/>
        </w:rPr>
        <w:t> </w:t>
      </w:r>
      <w:r w:rsidR="00CD23B7" w:rsidRPr="00020763">
        <w:t>368, зареєстрован</w:t>
      </w:r>
      <w:r w:rsidR="00B706D2" w:rsidRPr="00020763">
        <w:t>а</w:t>
      </w:r>
      <w:r w:rsidR="00CD23B7" w:rsidRPr="00020763">
        <w:t xml:space="preserve"> в Міністерстві юстиції України 26 вересня 2001</w:t>
      </w:r>
      <w:r w:rsidR="001151D7" w:rsidRPr="00020763">
        <w:rPr>
          <w:bCs/>
          <w:shd w:val="clear" w:color="auto" w:fill="FFFFFF" w:themeFill="background1"/>
          <w:lang w:eastAsia="ru-RU"/>
        </w:rPr>
        <w:t> </w:t>
      </w:r>
      <w:r w:rsidR="00CD23B7" w:rsidRPr="00020763">
        <w:t xml:space="preserve"> року за № 841/6032 (зі змінами);</w:t>
      </w:r>
    </w:p>
    <w:p w:rsidR="0073452A" w:rsidRPr="00020763" w:rsidRDefault="0073452A" w:rsidP="00020763">
      <w:pPr>
        <w:tabs>
          <w:tab w:val="left" w:pos="851"/>
        </w:tabs>
        <w:ind w:firstLine="567"/>
      </w:pPr>
    </w:p>
    <w:p w:rsidR="0073452A" w:rsidRPr="00020763" w:rsidRDefault="0073452A" w:rsidP="00020763">
      <w:pPr>
        <w:tabs>
          <w:tab w:val="left" w:pos="851"/>
        </w:tabs>
        <w:ind w:firstLine="567"/>
      </w:pPr>
      <w:r w:rsidRPr="00020763">
        <w:rPr>
          <w:lang w:eastAsia="ru-RU"/>
        </w:rPr>
        <w:t>7) Інструкція № 373 – Інструкція про порядок складання та оприлюднення фінансової звітності банків України, затверджена постановою Правління Національного банку України від 24 жовтня 2011 року № 373, зареєстрована в Міністерстві юстиції України 10 листопада 2011 року за № 1288/20026 (зі змінами);</w:t>
      </w:r>
    </w:p>
    <w:p w:rsidR="00CD23B7" w:rsidRPr="00020763" w:rsidRDefault="00CD23B7" w:rsidP="00020763">
      <w:pPr>
        <w:tabs>
          <w:tab w:val="left" w:pos="851"/>
        </w:tabs>
        <w:ind w:firstLine="567"/>
        <w:rPr>
          <w:bCs/>
        </w:rPr>
      </w:pPr>
    </w:p>
    <w:p w:rsidR="00F7536C" w:rsidRPr="00020763" w:rsidRDefault="0073452A" w:rsidP="00020763">
      <w:pPr>
        <w:tabs>
          <w:tab w:val="left" w:pos="851"/>
        </w:tabs>
        <w:ind w:firstLine="567"/>
        <w:rPr>
          <w:bCs/>
        </w:rPr>
      </w:pPr>
      <w:r w:rsidRPr="00020763">
        <w:rPr>
          <w:bCs/>
        </w:rPr>
        <w:t>8</w:t>
      </w:r>
      <w:r w:rsidR="00F7536C" w:rsidRPr="00020763">
        <w:rPr>
          <w:bCs/>
        </w:rPr>
        <w:t xml:space="preserve">) </w:t>
      </w:r>
      <w:r w:rsidR="00D5483A" w:rsidRPr="00020763">
        <w:rPr>
          <w:bCs/>
        </w:rPr>
        <w:t xml:space="preserve">майно </w:t>
      </w:r>
      <w:r w:rsidR="00D5483A" w:rsidRPr="00020763">
        <w:t>– нерухоме та рухоме майно, отримане банком у заставу;</w:t>
      </w:r>
    </w:p>
    <w:p w:rsidR="00F7536C" w:rsidRPr="00020763" w:rsidRDefault="00F7536C" w:rsidP="00020763">
      <w:pPr>
        <w:tabs>
          <w:tab w:val="left" w:pos="851"/>
        </w:tabs>
        <w:ind w:firstLine="567"/>
        <w:rPr>
          <w:bCs/>
        </w:rPr>
      </w:pPr>
    </w:p>
    <w:p w:rsidR="00335057" w:rsidRPr="00020763" w:rsidRDefault="0073452A" w:rsidP="00020763">
      <w:pPr>
        <w:tabs>
          <w:tab w:val="left" w:pos="851"/>
        </w:tabs>
        <w:ind w:firstLine="567"/>
        <w:rPr>
          <w:bCs/>
        </w:rPr>
      </w:pPr>
      <w:r w:rsidRPr="00020763">
        <w:rPr>
          <w:bCs/>
        </w:rPr>
        <w:t>9</w:t>
      </w:r>
      <w:r w:rsidR="00C97CAA" w:rsidRPr="00020763">
        <w:rPr>
          <w:bCs/>
        </w:rPr>
        <w:t>) необхідні рівні</w:t>
      </w:r>
      <w:r w:rsidR="00335057" w:rsidRPr="00020763">
        <w:rPr>
          <w:bCs/>
        </w:rPr>
        <w:t xml:space="preserve"> нормативів достатності капіталу – </w:t>
      </w:r>
      <w:r w:rsidR="00C97CAA" w:rsidRPr="00020763">
        <w:rPr>
          <w:shd w:val="clear" w:color="auto" w:fill="FFFFFF"/>
        </w:rPr>
        <w:t>необхідні рівні нормативу Н2 та необхідні рівні</w:t>
      </w:r>
      <w:r w:rsidR="00335057" w:rsidRPr="00020763">
        <w:rPr>
          <w:shd w:val="clear" w:color="auto" w:fill="FFFFFF"/>
        </w:rPr>
        <w:t xml:space="preserve"> нормативу Н3, визначені Національним банком за результатами оцінки стійкості;</w:t>
      </w:r>
    </w:p>
    <w:p w:rsidR="00335057" w:rsidRPr="00020763" w:rsidRDefault="00335057" w:rsidP="00020763">
      <w:pPr>
        <w:tabs>
          <w:tab w:val="left" w:pos="851"/>
        </w:tabs>
        <w:ind w:firstLine="567"/>
        <w:rPr>
          <w:bCs/>
        </w:rPr>
      </w:pPr>
    </w:p>
    <w:p w:rsidR="00322779" w:rsidRPr="00020763" w:rsidRDefault="0073452A" w:rsidP="00020763">
      <w:pPr>
        <w:tabs>
          <w:tab w:val="left" w:pos="851"/>
        </w:tabs>
        <w:ind w:firstLine="567"/>
        <w:rPr>
          <w:shd w:val="clear" w:color="auto" w:fill="FFFFFF"/>
        </w:rPr>
      </w:pPr>
      <w:r w:rsidRPr="00020763">
        <w:rPr>
          <w:shd w:val="clear" w:color="auto" w:fill="FFFFFF"/>
        </w:rPr>
        <w:t>10</w:t>
      </w:r>
      <w:r w:rsidR="00322779" w:rsidRPr="00020763">
        <w:rPr>
          <w:shd w:val="clear" w:color="auto" w:fill="FFFFFF"/>
        </w:rPr>
        <w:t>) норматив Н2 – норматив достатності (адекватності) регулятивного капіталу (Н2), установлений</w:t>
      </w:r>
      <w:r w:rsidR="009A0379" w:rsidRPr="00020763">
        <w:rPr>
          <w:shd w:val="clear" w:color="auto" w:fill="FFFFFF"/>
        </w:rPr>
        <w:t xml:space="preserve"> </w:t>
      </w:r>
      <w:r w:rsidR="00322779" w:rsidRPr="00020763">
        <w:rPr>
          <w:shd w:val="clear" w:color="auto" w:fill="FFFFFF"/>
        </w:rPr>
        <w:t> Інструкцією №</w:t>
      </w:r>
      <w:r w:rsidR="009A0379" w:rsidRPr="00020763">
        <w:rPr>
          <w:shd w:val="clear" w:color="auto" w:fill="FFFFFF"/>
        </w:rPr>
        <w:t> </w:t>
      </w:r>
      <w:r w:rsidR="00322779" w:rsidRPr="00020763">
        <w:rPr>
          <w:shd w:val="clear" w:color="auto" w:fill="FFFFFF"/>
        </w:rPr>
        <w:t>368;</w:t>
      </w:r>
      <w:r w:rsidR="00027694" w:rsidRPr="00020763">
        <w:rPr>
          <w:shd w:val="clear" w:color="auto" w:fill="FFFFFF"/>
        </w:rPr>
        <w:t xml:space="preserve"> </w:t>
      </w:r>
    </w:p>
    <w:p w:rsidR="00322779" w:rsidRPr="00020763" w:rsidRDefault="00322779" w:rsidP="00020763">
      <w:pPr>
        <w:tabs>
          <w:tab w:val="left" w:pos="851"/>
        </w:tabs>
        <w:ind w:firstLine="567"/>
        <w:rPr>
          <w:shd w:val="clear" w:color="auto" w:fill="FFFFFF"/>
        </w:rPr>
      </w:pPr>
    </w:p>
    <w:p w:rsidR="00322779" w:rsidRPr="00020763" w:rsidRDefault="00DF0392" w:rsidP="00020763">
      <w:pPr>
        <w:tabs>
          <w:tab w:val="left" w:pos="851"/>
        </w:tabs>
        <w:ind w:firstLine="567"/>
      </w:pPr>
      <w:r w:rsidRPr="00020763">
        <w:rPr>
          <w:shd w:val="clear" w:color="auto" w:fill="FFFFFF"/>
        </w:rPr>
        <w:t>1</w:t>
      </w:r>
      <w:r w:rsidR="0073452A" w:rsidRPr="00020763">
        <w:rPr>
          <w:shd w:val="clear" w:color="auto" w:fill="FFFFFF"/>
        </w:rPr>
        <w:t>1</w:t>
      </w:r>
      <w:r w:rsidR="00322779" w:rsidRPr="00020763">
        <w:rPr>
          <w:shd w:val="clear" w:color="auto" w:fill="FFFFFF"/>
        </w:rPr>
        <w:t>) норматив Н3 – норматив достатності основного капіталу (Н3), установлений Інструкцією №</w:t>
      </w:r>
      <w:r w:rsidR="009A0379" w:rsidRPr="00020763">
        <w:rPr>
          <w:shd w:val="clear" w:color="auto" w:fill="FFFFFF"/>
        </w:rPr>
        <w:t> </w:t>
      </w:r>
      <w:r w:rsidR="00322779" w:rsidRPr="00020763">
        <w:rPr>
          <w:shd w:val="clear" w:color="auto" w:fill="FFFFFF"/>
        </w:rPr>
        <w:t>368;</w:t>
      </w:r>
    </w:p>
    <w:p w:rsidR="00322779" w:rsidRPr="00020763" w:rsidRDefault="00322779" w:rsidP="00020763">
      <w:pPr>
        <w:tabs>
          <w:tab w:val="left" w:pos="851"/>
        </w:tabs>
        <w:ind w:firstLine="567"/>
      </w:pPr>
    </w:p>
    <w:p w:rsidR="00A30B14" w:rsidRPr="00020763" w:rsidRDefault="00CB332E" w:rsidP="00020763">
      <w:pPr>
        <w:tabs>
          <w:tab w:val="left" w:pos="851"/>
        </w:tabs>
        <w:ind w:firstLine="567"/>
      </w:pPr>
      <w:r w:rsidRPr="00020763">
        <w:rPr>
          <w:bCs/>
        </w:rPr>
        <w:t>1</w:t>
      </w:r>
      <w:r w:rsidR="0073452A" w:rsidRPr="00020763">
        <w:rPr>
          <w:bCs/>
        </w:rPr>
        <w:t>2</w:t>
      </w:r>
      <w:r w:rsidR="00A30B14" w:rsidRPr="00020763">
        <w:rPr>
          <w:bCs/>
        </w:rPr>
        <w:t xml:space="preserve">) </w:t>
      </w:r>
      <w:r w:rsidR="00A30B14" w:rsidRPr="00020763">
        <w:rPr>
          <w:shd w:val="clear" w:color="auto" w:fill="FFFFFF"/>
        </w:rPr>
        <w:t xml:space="preserve">нормативи достатності капіталу – норматив достатності (адекватності) регулятивного капіталу (Н2) та норматив достатності основного капіталу (Н3), </w:t>
      </w:r>
      <w:r w:rsidR="0009252C" w:rsidRPr="00020763">
        <w:rPr>
          <w:shd w:val="clear" w:color="auto" w:fill="FFFFFF"/>
        </w:rPr>
        <w:t>установлені </w:t>
      </w:r>
      <w:r w:rsidR="00A30B14" w:rsidRPr="00020763">
        <w:rPr>
          <w:shd w:val="clear" w:color="auto" w:fill="FFFFFF"/>
        </w:rPr>
        <w:t>Інструкцією №</w:t>
      </w:r>
      <w:r w:rsidR="009A0379" w:rsidRPr="00020763">
        <w:rPr>
          <w:shd w:val="clear" w:color="auto" w:fill="FFFFFF"/>
        </w:rPr>
        <w:t> </w:t>
      </w:r>
      <w:r w:rsidR="00A30B14" w:rsidRPr="00020763">
        <w:rPr>
          <w:shd w:val="clear" w:color="auto" w:fill="FFFFFF"/>
        </w:rPr>
        <w:t>368;</w:t>
      </w:r>
    </w:p>
    <w:p w:rsidR="00A30B14" w:rsidRPr="00020763" w:rsidRDefault="00A30B14" w:rsidP="00020763">
      <w:pPr>
        <w:tabs>
          <w:tab w:val="left" w:pos="851"/>
        </w:tabs>
        <w:ind w:firstLine="567"/>
      </w:pPr>
    </w:p>
    <w:p w:rsidR="001151D7" w:rsidRPr="00020763" w:rsidRDefault="00DF0392" w:rsidP="00020763">
      <w:pPr>
        <w:tabs>
          <w:tab w:val="left" w:pos="851"/>
        </w:tabs>
        <w:ind w:firstLine="567"/>
        <w:rPr>
          <w:bCs/>
          <w:lang w:eastAsia="ru-RU"/>
        </w:rPr>
      </w:pPr>
      <w:r w:rsidRPr="00020763">
        <w:lastRenderedPageBreak/>
        <w:t>1</w:t>
      </w:r>
      <w:r w:rsidR="0073452A" w:rsidRPr="00020763">
        <w:t>3</w:t>
      </w:r>
      <w:r w:rsidR="00CD23B7" w:rsidRPr="00020763">
        <w:t xml:space="preserve">) </w:t>
      </w:r>
      <w:r w:rsidR="00B706D2" w:rsidRPr="00020763">
        <w:rPr>
          <w:bCs/>
          <w:lang w:eastAsia="ru-RU"/>
        </w:rPr>
        <w:t xml:space="preserve">Положення № 276 </w:t>
      </w:r>
      <w:r w:rsidR="00B706D2" w:rsidRPr="00020763">
        <w:t xml:space="preserve">– </w:t>
      </w:r>
      <w:r w:rsidR="00CD23B7" w:rsidRPr="00020763">
        <w:rPr>
          <w:bCs/>
          <w:lang w:eastAsia="ru-RU"/>
        </w:rPr>
        <w:t>Положення про організацію та проведення інспекційних перевірок, затверджен</w:t>
      </w:r>
      <w:r w:rsidR="0000562F" w:rsidRPr="00020763">
        <w:rPr>
          <w:bCs/>
          <w:lang w:eastAsia="ru-RU"/>
        </w:rPr>
        <w:t>е</w:t>
      </w:r>
      <w:r w:rsidR="00CD23B7" w:rsidRPr="00020763">
        <w:rPr>
          <w:bCs/>
          <w:lang w:eastAsia="ru-RU"/>
        </w:rPr>
        <w:t xml:space="preserve"> постановою Правління Національного банку </w:t>
      </w:r>
      <w:r w:rsidR="0009252C" w:rsidRPr="00020763">
        <w:rPr>
          <w:bCs/>
          <w:lang w:eastAsia="ru-RU"/>
        </w:rPr>
        <w:t xml:space="preserve">України </w:t>
      </w:r>
      <w:r w:rsidR="00CD23B7" w:rsidRPr="00020763">
        <w:rPr>
          <w:bCs/>
          <w:lang w:eastAsia="ru-RU"/>
        </w:rPr>
        <w:t>від 17 липня 2001 року № 276, зареєстрован</w:t>
      </w:r>
      <w:r w:rsidR="0000562F" w:rsidRPr="00020763">
        <w:rPr>
          <w:bCs/>
          <w:lang w:eastAsia="ru-RU"/>
        </w:rPr>
        <w:t>е</w:t>
      </w:r>
      <w:r w:rsidR="00CD23B7" w:rsidRPr="00020763">
        <w:rPr>
          <w:bCs/>
          <w:lang w:eastAsia="ru-RU"/>
        </w:rPr>
        <w:t xml:space="preserve"> в Міністерстві юстиції України 15 серпня 2001 року за № 703/5894 </w:t>
      </w:r>
      <w:r w:rsidR="00BD7E97" w:rsidRPr="00020763">
        <w:rPr>
          <w:bCs/>
          <w:lang w:eastAsia="ru-RU"/>
        </w:rPr>
        <w:t xml:space="preserve">(у редакції </w:t>
      </w:r>
      <w:r w:rsidR="00CB0240" w:rsidRPr="00020763">
        <w:rPr>
          <w:bCs/>
          <w:lang w:eastAsia="ru-RU"/>
        </w:rPr>
        <w:t xml:space="preserve">постанови Правління Національного банку </w:t>
      </w:r>
      <w:r w:rsidR="0009252C" w:rsidRPr="00020763">
        <w:rPr>
          <w:bCs/>
          <w:lang w:eastAsia="ru-RU"/>
        </w:rPr>
        <w:t xml:space="preserve">України </w:t>
      </w:r>
      <w:r w:rsidR="00CB0240" w:rsidRPr="00020763">
        <w:rPr>
          <w:bCs/>
          <w:lang w:eastAsia="ru-RU"/>
        </w:rPr>
        <w:t>від 28 грудня 2017 року № 145)</w:t>
      </w:r>
      <w:r w:rsidR="00BD7E97" w:rsidRPr="00020763">
        <w:rPr>
          <w:bCs/>
          <w:lang w:eastAsia="ru-RU"/>
        </w:rPr>
        <w:t xml:space="preserve"> </w:t>
      </w:r>
      <w:r w:rsidR="00CD23B7" w:rsidRPr="00020763">
        <w:rPr>
          <w:bCs/>
          <w:lang w:eastAsia="ru-RU"/>
        </w:rPr>
        <w:t>(зі змінами)</w:t>
      </w:r>
      <w:r w:rsidR="001151D7" w:rsidRPr="00020763">
        <w:rPr>
          <w:bCs/>
          <w:lang w:eastAsia="ru-RU"/>
        </w:rPr>
        <w:t>;</w:t>
      </w:r>
    </w:p>
    <w:p w:rsidR="0073452A" w:rsidRPr="00020763" w:rsidRDefault="0073452A" w:rsidP="00020763">
      <w:pPr>
        <w:tabs>
          <w:tab w:val="left" w:pos="851"/>
        </w:tabs>
        <w:ind w:firstLine="567"/>
        <w:rPr>
          <w:bCs/>
          <w:lang w:eastAsia="ru-RU"/>
        </w:rPr>
      </w:pPr>
    </w:p>
    <w:p w:rsidR="0073452A" w:rsidRPr="00020763" w:rsidRDefault="0073452A" w:rsidP="00020763">
      <w:pPr>
        <w:tabs>
          <w:tab w:val="left" w:pos="851"/>
        </w:tabs>
        <w:ind w:firstLine="567"/>
        <w:rPr>
          <w:bCs/>
          <w:lang w:eastAsia="ru-RU"/>
        </w:rPr>
      </w:pPr>
      <w:r w:rsidRPr="00020763">
        <w:rPr>
          <w:bCs/>
          <w:lang w:eastAsia="ru-RU"/>
        </w:rPr>
        <w:t xml:space="preserve">14) Положення № 351 – </w:t>
      </w:r>
      <w:r w:rsidRPr="00020763">
        <w:rPr>
          <w:bCs/>
          <w:shd w:val="clear" w:color="auto" w:fill="FFFFFF" w:themeFill="background1"/>
        </w:rPr>
        <w:t xml:space="preserve">Положення про визначення банками України розміру кредитного ризику за активними банківськими операціями, затверджене постановою Правління Національного банку </w:t>
      </w:r>
      <w:r w:rsidR="0009252C" w:rsidRPr="00020763">
        <w:rPr>
          <w:bCs/>
          <w:shd w:val="clear" w:color="auto" w:fill="FFFFFF" w:themeFill="background1"/>
        </w:rPr>
        <w:t xml:space="preserve">України </w:t>
      </w:r>
      <w:r w:rsidRPr="00020763">
        <w:rPr>
          <w:bCs/>
          <w:shd w:val="clear" w:color="auto" w:fill="FFFFFF" w:themeFill="background1"/>
        </w:rPr>
        <w:t>від 30 червня 2016 року №</w:t>
      </w:r>
      <w:r w:rsidRPr="00020763">
        <w:rPr>
          <w:bCs/>
          <w:shd w:val="clear" w:color="auto" w:fill="FFFFFF" w:themeFill="background1"/>
          <w:lang w:eastAsia="ru-RU"/>
        </w:rPr>
        <w:t> </w:t>
      </w:r>
      <w:r w:rsidRPr="00020763">
        <w:rPr>
          <w:bCs/>
          <w:shd w:val="clear" w:color="auto" w:fill="FFFFFF" w:themeFill="background1"/>
        </w:rPr>
        <w:t>351 (зі</w:t>
      </w:r>
      <w:r w:rsidR="00C95F62" w:rsidRPr="00020763">
        <w:rPr>
          <w:bCs/>
          <w:shd w:val="clear" w:color="auto" w:fill="FFFFFF" w:themeFill="background1"/>
        </w:rPr>
        <w:t> </w:t>
      </w:r>
      <w:r w:rsidRPr="00020763">
        <w:rPr>
          <w:bCs/>
          <w:shd w:val="clear" w:color="auto" w:fill="FFFFFF" w:themeFill="background1"/>
        </w:rPr>
        <w:t xml:space="preserve"> змінами);</w:t>
      </w:r>
    </w:p>
    <w:p w:rsidR="001151D7" w:rsidRPr="00020763" w:rsidRDefault="001151D7" w:rsidP="00020763">
      <w:pPr>
        <w:tabs>
          <w:tab w:val="left" w:pos="851"/>
        </w:tabs>
        <w:ind w:firstLine="567"/>
      </w:pPr>
    </w:p>
    <w:p w:rsidR="005F6499" w:rsidRPr="00020763" w:rsidRDefault="001151D7" w:rsidP="00020763">
      <w:pPr>
        <w:tabs>
          <w:tab w:val="left" w:pos="851"/>
        </w:tabs>
        <w:ind w:firstLine="567"/>
        <w:rPr>
          <w:rFonts w:eastAsiaTheme="minorEastAsia"/>
        </w:rPr>
      </w:pPr>
      <w:r w:rsidRPr="00020763">
        <w:t>1</w:t>
      </w:r>
      <w:r w:rsidR="0073452A" w:rsidRPr="00020763">
        <w:t>5</w:t>
      </w:r>
      <w:r w:rsidRPr="00020763">
        <w:t xml:space="preserve">) </w:t>
      </w:r>
      <w:r w:rsidR="003C6DD8" w:rsidRPr="00020763">
        <w:rPr>
          <w:bCs/>
        </w:rPr>
        <w:t>Правила</w:t>
      </w:r>
      <w:r w:rsidRPr="00020763">
        <w:rPr>
          <w:bCs/>
        </w:rPr>
        <w:t xml:space="preserve"> №</w:t>
      </w:r>
      <w:r w:rsidRPr="00020763">
        <w:rPr>
          <w:bCs/>
          <w:lang w:eastAsia="ru-RU"/>
        </w:rPr>
        <w:t> </w:t>
      </w:r>
      <w:r w:rsidRPr="00020763">
        <w:rPr>
          <w:bCs/>
        </w:rPr>
        <w:t xml:space="preserve">23 </w:t>
      </w:r>
      <w:r w:rsidRPr="00020763">
        <w:t xml:space="preserve">– </w:t>
      </w:r>
      <w:r w:rsidR="003C6DD8" w:rsidRPr="00020763">
        <w:rPr>
          <w:lang w:eastAsia="ru-RU"/>
        </w:rPr>
        <w:t>Правила роботи банків у зв’язку з введенням в</w:t>
      </w:r>
      <w:r w:rsidR="003C6DD8" w:rsidRPr="00020763">
        <w:rPr>
          <w:rFonts w:eastAsiaTheme="minorEastAsia"/>
        </w:rPr>
        <w:t xml:space="preserve"> Україні воєнного стану, затверджені постановою Правління Національного банку</w:t>
      </w:r>
      <w:r w:rsidR="006C35C5" w:rsidRPr="00020763">
        <w:rPr>
          <w:rFonts w:eastAsiaTheme="minorEastAsia"/>
        </w:rPr>
        <w:t xml:space="preserve"> України</w:t>
      </w:r>
      <w:r w:rsidR="003C6DD8" w:rsidRPr="00020763">
        <w:rPr>
          <w:rFonts w:eastAsiaTheme="minorEastAsia"/>
        </w:rPr>
        <w:t xml:space="preserve"> від 25</w:t>
      </w:r>
      <w:r w:rsidR="0017409E" w:rsidRPr="00020763">
        <w:rPr>
          <w:bCs/>
          <w:lang w:eastAsia="ru-RU"/>
        </w:rPr>
        <w:t> </w:t>
      </w:r>
      <w:r w:rsidR="003C6DD8" w:rsidRPr="00020763">
        <w:rPr>
          <w:rFonts w:eastAsiaTheme="minorEastAsia"/>
        </w:rPr>
        <w:t xml:space="preserve"> лютого 2022 року №</w:t>
      </w:r>
      <w:r w:rsidR="0017409E" w:rsidRPr="00020763">
        <w:rPr>
          <w:bCs/>
          <w:lang w:eastAsia="ru-RU"/>
        </w:rPr>
        <w:t> </w:t>
      </w:r>
      <w:r w:rsidR="003C6DD8" w:rsidRPr="00020763">
        <w:rPr>
          <w:rFonts w:eastAsiaTheme="minorEastAsia"/>
        </w:rPr>
        <w:t>23  (зі змінами)</w:t>
      </w:r>
      <w:r w:rsidR="005F6499" w:rsidRPr="00020763">
        <w:rPr>
          <w:rFonts w:eastAsiaTheme="minorEastAsia"/>
        </w:rPr>
        <w:t>;</w:t>
      </w:r>
    </w:p>
    <w:p w:rsidR="005F6499" w:rsidRPr="00020763" w:rsidRDefault="005F6499" w:rsidP="00020763">
      <w:pPr>
        <w:tabs>
          <w:tab w:val="left" w:pos="851"/>
        </w:tabs>
        <w:ind w:firstLine="567"/>
        <w:rPr>
          <w:rFonts w:eastAsiaTheme="minorEastAsia"/>
        </w:rPr>
      </w:pPr>
    </w:p>
    <w:p w:rsidR="001F66FB" w:rsidRPr="00020763" w:rsidRDefault="001F66FB" w:rsidP="00020763">
      <w:pPr>
        <w:tabs>
          <w:tab w:val="left" w:pos="851"/>
        </w:tabs>
        <w:ind w:firstLine="567"/>
        <w:rPr>
          <w:shd w:val="clear" w:color="auto" w:fill="FFFFFF"/>
        </w:rPr>
      </w:pPr>
      <w:r w:rsidRPr="00020763">
        <w:rPr>
          <w:bCs/>
        </w:rPr>
        <w:t>1</w:t>
      </w:r>
      <w:r w:rsidR="00FA3DB6" w:rsidRPr="00020763">
        <w:rPr>
          <w:bCs/>
        </w:rPr>
        <w:t>6</w:t>
      </w:r>
      <w:r w:rsidRPr="00020763">
        <w:rPr>
          <w:bCs/>
        </w:rPr>
        <w:t xml:space="preserve">) </w:t>
      </w:r>
      <w:r w:rsidRPr="00020763">
        <w:rPr>
          <w:shd w:val="clear" w:color="auto" w:fill="FFFFFF"/>
        </w:rPr>
        <w:t xml:space="preserve">прогнозний період </w:t>
      </w:r>
      <w:r w:rsidR="007D2501" w:rsidRPr="00020763">
        <w:t>–</w:t>
      </w:r>
      <w:r w:rsidRPr="00020763">
        <w:rPr>
          <w:shd w:val="clear" w:color="auto" w:fill="FFFFFF"/>
        </w:rPr>
        <w:t xml:space="preserve"> трирічний період від звітної дати;</w:t>
      </w:r>
    </w:p>
    <w:p w:rsidR="003E67C8" w:rsidRPr="00020763" w:rsidRDefault="003E67C8" w:rsidP="00020763">
      <w:pPr>
        <w:tabs>
          <w:tab w:val="left" w:pos="851"/>
        </w:tabs>
        <w:ind w:firstLine="567"/>
        <w:rPr>
          <w:shd w:val="clear" w:color="auto" w:fill="FFFFFF"/>
        </w:rPr>
      </w:pPr>
    </w:p>
    <w:p w:rsidR="003E67C8" w:rsidRPr="00020763" w:rsidRDefault="003E67C8" w:rsidP="00020763">
      <w:pPr>
        <w:tabs>
          <w:tab w:val="left" w:pos="851"/>
        </w:tabs>
        <w:ind w:firstLine="567"/>
        <w:rPr>
          <w:rFonts w:eastAsiaTheme="minorEastAsia"/>
        </w:rPr>
      </w:pPr>
      <w:r w:rsidRPr="00020763">
        <w:rPr>
          <w:shd w:val="clear" w:color="auto" w:fill="FFFFFF"/>
        </w:rPr>
        <w:t>17) СОД – суб’єкт оціночної діяльності;</w:t>
      </w:r>
    </w:p>
    <w:p w:rsidR="001F66FB" w:rsidRPr="00020763" w:rsidRDefault="001F66FB" w:rsidP="00020763">
      <w:pPr>
        <w:tabs>
          <w:tab w:val="left" w:pos="851"/>
        </w:tabs>
        <w:ind w:firstLine="567"/>
        <w:rPr>
          <w:rFonts w:eastAsiaTheme="minorEastAsia"/>
        </w:rPr>
      </w:pPr>
    </w:p>
    <w:p w:rsidR="00A30B14" w:rsidRPr="00020763" w:rsidRDefault="00CB332E" w:rsidP="00020763">
      <w:pPr>
        <w:tabs>
          <w:tab w:val="left" w:pos="851"/>
        </w:tabs>
        <w:ind w:firstLine="567"/>
        <w:rPr>
          <w:shd w:val="clear" w:color="auto" w:fill="FFFFFF"/>
        </w:rPr>
      </w:pPr>
      <w:r w:rsidRPr="00020763">
        <w:rPr>
          <w:bCs/>
        </w:rPr>
        <w:t>1</w:t>
      </w:r>
      <w:r w:rsidR="003E67C8" w:rsidRPr="00020763">
        <w:rPr>
          <w:bCs/>
        </w:rPr>
        <w:t>8</w:t>
      </w:r>
      <w:r w:rsidR="00A30B14" w:rsidRPr="00020763">
        <w:rPr>
          <w:bCs/>
        </w:rPr>
        <w:t xml:space="preserve">) </w:t>
      </w:r>
      <w:r w:rsidR="00A30B14" w:rsidRPr="00020763">
        <w:rPr>
          <w:shd w:val="clear" w:color="auto" w:fill="FFFFFF"/>
        </w:rPr>
        <w:t>стрес-тестування банку – метод кількісної оцінки ймовірних змін якості балансових та позабалансових позицій банку внаслідок гіпотетичних, але ймовірних змін у визначених факторах (макроекономічних показниках) зовнішнього середовища;</w:t>
      </w:r>
    </w:p>
    <w:p w:rsidR="00A30B14" w:rsidRPr="00020763" w:rsidRDefault="00A30B14" w:rsidP="00020763">
      <w:pPr>
        <w:tabs>
          <w:tab w:val="left" w:pos="851"/>
        </w:tabs>
        <w:ind w:firstLine="567"/>
        <w:rPr>
          <w:rFonts w:eastAsiaTheme="minorEastAsia"/>
        </w:rPr>
      </w:pPr>
    </w:p>
    <w:p w:rsidR="00FB3AAF" w:rsidRPr="00020763" w:rsidRDefault="00B32228" w:rsidP="00020763">
      <w:pPr>
        <w:tabs>
          <w:tab w:val="left" w:pos="851"/>
        </w:tabs>
        <w:ind w:firstLine="567"/>
      </w:pPr>
      <w:r w:rsidRPr="00020763">
        <w:t>1</w:t>
      </w:r>
      <w:r w:rsidR="003E67C8" w:rsidRPr="00020763">
        <w:t>9</w:t>
      </w:r>
      <w:r w:rsidR="00596392" w:rsidRPr="00020763">
        <w:t>) ФДМУ – Фонд державного майна України</w:t>
      </w:r>
      <w:r w:rsidR="000F3161" w:rsidRPr="00020763">
        <w:t>.</w:t>
      </w:r>
    </w:p>
    <w:p w:rsidR="00CC7FD0" w:rsidRPr="00020763" w:rsidRDefault="00CC7FD0" w:rsidP="00020763">
      <w:pPr>
        <w:tabs>
          <w:tab w:val="left" w:pos="567"/>
        </w:tabs>
        <w:ind w:firstLine="567"/>
      </w:pPr>
      <w:r w:rsidRPr="00020763">
        <w:t xml:space="preserve">Інші терміни, які вживаються в </w:t>
      </w:r>
      <w:r w:rsidR="00834626" w:rsidRPr="00020763">
        <w:t>цих</w:t>
      </w:r>
      <w:r w:rsidRPr="00020763">
        <w:t xml:space="preserve"> </w:t>
      </w:r>
      <w:r w:rsidR="003B36DF" w:rsidRPr="00020763">
        <w:t>П</w:t>
      </w:r>
      <w:r w:rsidR="00834626" w:rsidRPr="00020763">
        <w:t>равилах</w:t>
      </w:r>
      <w:r w:rsidRPr="00020763">
        <w:t>, використовуються в значеннях, визначених законами України</w:t>
      </w:r>
      <w:r w:rsidR="006D13B5" w:rsidRPr="00020763">
        <w:t>,</w:t>
      </w:r>
      <w:r w:rsidRPr="00020763">
        <w:t xml:space="preserve"> </w:t>
      </w:r>
      <w:r w:rsidR="006D13B5" w:rsidRPr="00020763">
        <w:t xml:space="preserve">Положенням № 141, </w:t>
      </w:r>
      <w:r w:rsidRPr="00020763">
        <w:t>нормативно-право</w:t>
      </w:r>
      <w:r w:rsidR="007A024B" w:rsidRPr="00020763">
        <w:t>вими актами Національного банку</w:t>
      </w:r>
      <w:r w:rsidR="006D13B5" w:rsidRPr="00020763">
        <w:t xml:space="preserve"> з питань регулювання діяльності банків</w:t>
      </w:r>
      <w:r w:rsidRPr="00020763">
        <w:t>.</w:t>
      </w:r>
    </w:p>
    <w:p w:rsidR="0022297B" w:rsidRPr="00020763" w:rsidRDefault="0022297B" w:rsidP="00020763">
      <w:pPr>
        <w:tabs>
          <w:tab w:val="left" w:pos="567"/>
        </w:tabs>
        <w:ind w:firstLine="567"/>
        <w:rPr>
          <w:lang w:eastAsia="ru-RU"/>
        </w:rPr>
      </w:pPr>
    </w:p>
    <w:p w:rsidR="002B0472" w:rsidRPr="00020763" w:rsidRDefault="006D13B5" w:rsidP="0020103B">
      <w:pPr>
        <w:jc w:val="center"/>
        <w:rPr>
          <w:lang w:eastAsia="ru-RU"/>
        </w:rPr>
      </w:pPr>
      <w:r w:rsidRPr="00020763">
        <w:rPr>
          <w:lang w:eastAsia="ru-RU"/>
        </w:rPr>
        <w:t xml:space="preserve">ІІ. </w:t>
      </w:r>
      <w:r w:rsidR="00F86B97" w:rsidRPr="00020763">
        <w:rPr>
          <w:lang w:eastAsia="ru-RU"/>
        </w:rPr>
        <w:t>Порядок с</w:t>
      </w:r>
      <w:r w:rsidR="00846257" w:rsidRPr="00020763">
        <w:rPr>
          <w:lang w:eastAsia="ru-RU"/>
        </w:rPr>
        <w:t>кладення</w:t>
      </w:r>
      <w:r w:rsidR="00376FDF" w:rsidRPr="00020763">
        <w:rPr>
          <w:lang w:eastAsia="ru-RU"/>
        </w:rPr>
        <w:t xml:space="preserve"> банком </w:t>
      </w:r>
      <w:r w:rsidR="002B0472" w:rsidRPr="00020763">
        <w:rPr>
          <w:lang w:eastAsia="ru-RU"/>
        </w:rPr>
        <w:t>реєстру активів</w:t>
      </w:r>
    </w:p>
    <w:p w:rsidR="002B0472" w:rsidRPr="00020763" w:rsidRDefault="002B0472" w:rsidP="00020763">
      <w:pPr>
        <w:tabs>
          <w:tab w:val="left" w:pos="720"/>
          <w:tab w:val="num" w:pos="1800"/>
        </w:tabs>
        <w:ind w:firstLine="567"/>
        <w:jc w:val="center"/>
        <w:rPr>
          <w:lang w:eastAsia="ru-RU"/>
        </w:rPr>
      </w:pPr>
    </w:p>
    <w:p w:rsidR="002B0472" w:rsidRPr="00020763" w:rsidRDefault="002B0472" w:rsidP="0020103B">
      <w:pPr>
        <w:pStyle w:val="af3"/>
        <w:numPr>
          <w:ilvl w:val="0"/>
          <w:numId w:val="44"/>
        </w:numPr>
        <w:ind w:left="0" w:firstLine="567"/>
        <w:contextualSpacing w:val="0"/>
        <w:rPr>
          <w:lang w:eastAsia="ru-RU"/>
        </w:rPr>
      </w:pPr>
      <w:r w:rsidRPr="00020763">
        <w:rPr>
          <w:lang w:eastAsia="ru-RU"/>
        </w:rPr>
        <w:t>Банк складає та по</w:t>
      </w:r>
      <w:r w:rsidRPr="00020763">
        <w:t xml:space="preserve">дає до Національного банку </w:t>
      </w:r>
      <w:r w:rsidRPr="00020763">
        <w:rPr>
          <w:lang w:eastAsia="ru-RU"/>
        </w:rPr>
        <w:t>реєстр активів, який охоплює кредити, надані юридичним особам (далі – ЮО) та фізичним особам (далі – ФО), а також усі інші активні операції (балансові та позабалансові) щодо таких суб’єктів (далі – активи)</w:t>
      </w:r>
      <w:r w:rsidRPr="00020763">
        <w:rPr>
          <w:i/>
          <w:lang w:eastAsia="ru-RU"/>
        </w:rPr>
        <w:t>.</w:t>
      </w:r>
    </w:p>
    <w:p w:rsidR="002B0472" w:rsidRPr="00020763" w:rsidRDefault="002B0472" w:rsidP="0020103B">
      <w:pPr>
        <w:pStyle w:val="af3"/>
        <w:ind w:left="0" w:firstLine="567"/>
        <w:contextualSpacing w:val="0"/>
        <w:rPr>
          <w:lang w:eastAsia="ru-RU"/>
        </w:rPr>
      </w:pPr>
    </w:p>
    <w:p w:rsidR="002B0472" w:rsidRPr="00020763" w:rsidRDefault="002B0472" w:rsidP="0020103B">
      <w:pPr>
        <w:pStyle w:val="af3"/>
        <w:numPr>
          <w:ilvl w:val="0"/>
          <w:numId w:val="44"/>
        </w:numPr>
        <w:ind w:left="0" w:firstLine="567"/>
        <w:contextualSpacing w:val="0"/>
        <w:rPr>
          <w:lang w:eastAsia="ru-RU"/>
        </w:rPr>
      </w:pPr>
      <w:r w:rsidRPr="00020763">
        <w:rPr>
          <w:lang w:eastAsia="ru-RU"/>
        </w:rPr>
        <w:t>Банк складає реєстр активів станом на звітну дату в розрізі видів боржників/контрагентів – ЮО та ФО, який містить відповідні поля інформації щодо:</w:t>
      </w:r>
    </w:p>
    <w:p w:rsidR="002B0472" w:rsidRPr="00020763" w:rsidRDefault="002B0472" w:rsidP="0020103B">
      <w:pPr>
        <w:pStyle w:val="af3"/>
        <w:ind w:left="0" w:firstLine="567"/>
        <w:contextualSpacing w:val="0"/>
        <w:rPr>
          <w:lang w:eastAsia="ru-RU"/>
        </w:rPr>
      </w:pPr>
    </w:p>
    <w:p w:rsidR="002B0472" w:rsidRPr="00020763" w:rsidRDefault="002B0472" w:rsidP="0020103B">
      <w:pPr>
        <w:pStyle w:val="af3"/>
        <w:numPr>
          <w:ilvl w:val="0"/>
          <w:numId w:val="21"/>
        </w:numPr>
        <w:ind w:left="0" w:firstLine="567"/>
        <w:rPr>
          <w:bCs/>
          <w:lang w:eastAsia="ru-RU"/>
        </w:rPr>
      </w:pPr>
      <w:r w:rsidRPr="00020763">
        <w:rPr>
          <w:lang w:eastAsia="ru-RU"/>
        </w:rPr>
        <w:t xml:space="preserve">ідентифікації боржників/контрагентів, </w:t>
      </w:r>
      <w:r w:rsidR="0009252C" w:rsidRPr="00020763">
        <w:rPr>
          <w:lang w:eastAsia="ru-RU"/>
        </w:rPr>
        <w:t xml:space="preserve">включаючи </w:t>
      </w:r>
      <w:r w:rsidRPr="00020763">
        <w:rPr>
          <w:lang w:eastAsia="ru-RU"/>
        </w:rPr>
        <w:t>таку інформацію:</w:t>
      </w:r>
    </w:p>
    <w:p w:rsidR="002B0472" w:rsidRPr="00020763" w:rsidRDefault="002B0472" w:rsidP="00020763">
      <w:pPr>
        <w:pStyle w:val="af3"/>
        <w:tabs>
          <w:tab w:val="left" w:pos="567"/>
          <w:tab w:val="left" w:pos="993"/>
          <w:tab w:val="left" w:pos="1134"/>
        </w:tabs>
        <w:ind w:left="0" w:firstLine="567"/>
        <w:rPr>
          <w:lang w:eastAsia="ru-RU"/>
        </w:rPr>
      </w:pPr>
      <w:r w:rsidRPr="00020763">
        <w:rPr>
          <w:lang w:eastAsia="ru-RU"/>
        </w:rPr>
        <w:t xml:space="preserve">пов’язані/не пов’язані з банком особи; </w:t>
      </w:r>
    </w:p>
    <w:p w:rsidR="002B0472" w:rsidRPr="00020763" w:rsidRDefault="002B0472" w:rsidP="00020763">
      <w:pPr>
        <w:pStyle w:val="af3"/>
        <w:tabs>
          <w:tab w:val="left" w:pos="567"/>
          <w:tab w:val="left" w:pos="993"/>
          <w:tab w:val="left" w:pos="1134"/>
        </w:tabs>
        <w:ind w:left="0" w:firstLine="567"/>
        <w:rPr>
          <w:bCs/>
          <w:lang w:eastAsia="ru-RU"/>
        </w:rPr>
      </w:pPr>
      <w:r w:rsidRPr="00020763">
        <w:rPr>
          <w:lang w:eastAsia="ru-RU"/>
        </w:rPr>
        <w:lastRenderedPageBreak/>
        <w:t xml:space="preserve">належність боржника/контрагента до групи </w:t>
      </w:r>
      <w:r w:rsidR="0009252C" w:rsidRPr="00020763">
        <w:rPr>
          <w:lang w:eastAsia="ru-RU"/>
        </w:rPr>
        <w:t>ЮО</w:t>
      </w:r>
      <w:r w:rsidRPr="00020763">
        <w:rPr>
          <w:lang w:eastAsia="ru-RU"/>
        </w:rPr>
        <w:t xml:space="preserve"> під спільним контролем/групи пов’язаних контрагентів; </w:t>
      </w:r>
    </w:p>
    <w:p w:rsidR="002B0472" w:rsidRPr="00020763" w:rsidRDefault="002B0472" w:rsidP="00020763">
      <w:pPr>
        <w:pStyle w:val="af3"/>
        <w:tabs>
          <w:tab w:val="left" w:pos="1134"/>
        </w:tabs>
        <w:ind w:left="0" w:firstLine="567"/>
        <w:rPr>
          <w:lang w:eastAsia="ru-RU"/>
        </w:rPr>
      </w:pPr>
    </w:p>
    <w:p w:rsidR="002B0472" w:rsidRPr="00020763" w:rsidRDefault="002B0472" w:rsidP="0020103B">
      <w:pPr>
        <w:pStyle w:val="af3"/>
        <w:numPr>
          <w:ilvl w:val="0"/>
          <w:numId w:val="21"/>
        </w:numPr>
        <w:ind w:left="0" w:firstLine="567"/>
        <w:rPr>
          <w:bCs/>
        </w:rPr>
      </w:pPr>
      <w:r w:rsidRPr="00020763">
        <w:rPr>
          <w:lang w:eastAsia="ru-RU"/>
        </w:rPr>
        <w:t xml:space="preserve">кредитів, наданих ЮО, що були </w:t>
      </w:r>
      <w:proofErr w:type="spellStart"/>
      <w:r w:rsidRPr="00020763">
        <w:rPr>
          <w:lang w:eastAsia="ru-RU"/>
        </w:rPr>
        <w:t>реструктуризовані</w:t>
      </w:r>
      <w:proofErr w:type="spellEnd"/>
      <w:r w:rsidRPr="00020763">
        <w:rPr>
          <w:lang w:eastAsia="ru-RU"/>
        </w:rPr>
        <w:t xml:space="preserve"> з дотриманням умов, зазначених у підпункті 3 пункту 2 Правил</w:t>
      </w:r>
      <w:r w:rsidRPr="00020763">
        <w:rPr>
          <w:rFonts w:eastAsiaTheme="minorEastAsia"/>
        </w:rPr>
        <w:t xml:space="preserve"> №</w:t>
      </w:r>
      <w:r w:rsidRPr="00020763">
        <w:rPr>
          <w:lang w:eastAsia="ru-RU"/>
        </w:rPr>
        <w:t> </w:t>
      </w:r>
      <w:r w:rsidRPr="00020763">
        <w:rPr>
          <w:rFonts w:eastAsiaTheme="minorEastAsia"/>
        </w:rPr>
        <w:t>23</w:t>
      </w:r>
      <w:r w:rsidR="0009252C" w:rsidRPr="00020763">
        <w:rPr>
          <w:rFonts w:eastAsiaTheme="minorEastAsia"/>
        </w:rPr>
        <w:t>,</w:t>
      </w:r>
      <w:r w:rsidRPr="00020763">
        <w:rPr>
          <w:rFonts w:eastAsiaTheme="minorEastAsia"/>
        </w:rPr>
        <w:t xml:space="preserve"> </w:t>
      </w:r>
      <w:r w:rsidRPr="00020763">
        <w:rPr>
          <w:lang w:eastAsia="ru-RU"/>
        </w:rPr>
        <w:t xml:space="preserve">за період </w:t>
      </w:r>
      <w:r w:rsidRPr="00020763">
        <w:rPr>
          <w:bCs/>
          <w:lang w:eastAsia="ru-RU"/>
        </w:rPr>
        <w:t>з 25 лютого 2022 року до 31 березня 2023 року</w:t>
      </w:r>
      <w:r w:rsidRPr="00020763">
        <w:rPr>
          <w:lang w:eastAsia="ru-RU"/>
        </w:rPr>
        <w:t>;</w:t>
      </w:r>
    </w:p>
    <w:p w:rsidR="002B0472" w:rsidRPr="00020763" w:rsidRDefault="002B0472" w:rsidP="0020103B">
      <w:pPr>
        <w:pStyle w:val="af3"/>
        <w:ind w:left="0" w:firstLine="567"/>
        <w:rPr>
          <w:lang w:eastAsia="ru-RU"/>
        </w:rPr>
      </w:pPr>
    </w:p>
    <w:p w:rsidR="002B0472" w:rsidRPr="00020763" w:rsidRDefault="002B0472" w:rsidP="0020103B">
      <w:pPr>
        <w:pStyle w:val="af3"/>
        <w:numPr>
          <w:ilvl w:val="0"/>
          <w:numId w:val="21"/>
        </w:numPr>
        <w:ind w:left="0" w:firstLine="567"/>
        <w:rPr>
          <w:lang w:eastAsia="ru-RU"/>
        </w:rPr>
      </w:pPr>
      <w:r w:rsidRPr="00020763">
        <w:rPr>
          <w:lang w:eastAsia="ru-RU"/>
        </w:rPr>
        <w:t>інших активів ЮО та ФО (балансових та позабалансових) за винятком тих, до яких застосовується коефіцієнт кредитної конверсії (CCF) або коефіцієнт імовірності дефолту (PD), що дорівнюють нулю відповідно до вимог Положення № 351;</w:t>
      </w:r>
    </w:p>
    <w:p w:rsidR="002B0472" w:rsidRPr="00020763" w:rsidRDefault="002B0472" w:rsidP="0020103B">
      <w:pPr>
        <w:pStyle w:val="af3"/>
        <w:ind w:left="0" w:firstLine="567"/>
        <w:rPr>
          <w:lang w:eastAsia="ru-RU"/>
        </w:rPr>
      </w:pPr>
    </w:p>
    <w:p w:rsidR="002B0472" w:rsidRPr="00020763" w:rsidRDefault="002B0472" w:rsidP="0020103B">
      <w:pPr>
        <w:pStyle w:val="af3"/>
        <w:numPr>
          <w:ilvl w:val="0"/>
          <w:numId w:val="21"/>
        </w:numPr>
        <w:ind w:left="0" w:firstLine="567"/>
        <w:contextualSpacing w:val="0"/>
        <w:rPr>
          <w:lang w:eastAsia="ru-RU"/>
        </w:rPr>
      </w:pPr>
      <w:r w:rsidRPr="00020763">
        <w:rPr>
          <w:lang w:eastAsia="ru-RU"/>
        </w:rPr>
        <w:t>методу оцінки кредитного ризику (на індивідуальній основі/груповій основі/за спрощеним підходом);</w:t>
      </w:r>
    </w:p>
    <w:p w:rsidR="002B0472" w:rsidRPr="00020763" w:rsidRDefault="002B0472" w:rsidP="0020103B">
      <w:pPr>
        <w:ind w:firstLine="567"/>
        <w:rPr>
          <w:lang w:eastAsia="ru-RU"/>
        </w:rPr>
      </w:pPr>
    </w:p>
    <w:p w:rsidR="002B0472" w:rsidRPr="00020763" w:rsidRDefault="002B0472" w:rsidP="0020103B">
      <w:pPr>
        <w:pStyle w:val="af3"/>
        <w:numPr>
          <w:ilvl w:val="0"/>
          <w:numId w:val="21"/>
        </w:numPr>
        <w:ind w:left="0" w:firstLine="567"/>
        <w:contextualSpacing w:val="0"/>
        <w:rPr>
          <w:lang w:eastAsia="ru-RU"/>
        </w:rPr>
      </w:pPr>
      <w:r w:rsidRPr="00020763">
        <w:rPr>
          <w:shd w:val="clear" w:color="auto" w:fill="FFFFFF"/>
        </w:rPr>
        <w:t>майна, отриманого в заставу/</w:t>
      </w:r>
      <w:r w:rsidRPr="00020763">
        <w:t>забезпечення</w:t>
      </w:r>
      <w:r w:rsidRPr="00020763">
        <w:rPr>
          <w:shd w:val="clear" w:color="auto" w:fill="FFFFFF"/>
        </w:rPr>
        <w:t xml:space="preserve"> на підставі права довірчої власності/активу, переданого банком у фінансовий лізинг (оренду), що враховується банком </w:t>
      </w:r>
      <w:r w:rsidRPr="00020763">
        <w:t>під час розрахунку кредитного ризику відповідно до</w:t>
      </w:r>
      <w:r w:rsidRPr="00020763">
        <w:rPr>
          <w:lang w:eastAsia="ru-RU"/>
        </w:rPr>
        <w:t xml:space="preserve"> </w:t>
      </w:r>
      <w:r w:rsidRPr="00020763">
        <w:t xml:space="preserve">Положення </w:t>
      </w:r>
      <w:r w:rsidRPr="00020763">
        <w:rPr>
          <w:lang w:eastAsia="ru-RU"/>
        </w:rPr>
        <w:t xml:space="preserve">№ 351;  </w:t>
      </w:r>
    </w:p>
    <w:p w:rsidR="002B0472" w:rsidRPr="00020763" w:rsidRDefault="002B0472" w:rsidP="0020103B">
      <w:pPr>
        <w:pStyle w:val="af3"/>
        <w:ind w:left="0" w:firstLine="567"/>
        <w:rPr>
          <w:shd w:val="clear" w:color="auto" w:fill="FFFFFF" w:themeFill="background1"/>
          <w:lang w:eastAsia="ru-RU"/>
        </w:rPr>
      </w:pPr>
    </w:p>
    <w:p w:rsidR="002B0472" w:rsidRPr="00020763" w:rsidRDefault="002B0472" w:rsidP="0020103B">
      <w:pPr>
        <w:pStyle w:val="af3"/>
        <w:numPr>
          <w:ilvl w:val="0"/>
          <w:numId w:val="21"/>
        </w:numPr>
        <w:ind w:left="0" w:firstLine="567"/>
        <w:contextualSpacing w:val="0"/>
      </w:pPr>
      <w:r w:rsidRPr="00020763">
        <w:t>судження банку згідно з пунктом 2</w:t>
      </w:r>
      <w:r w:rsidRPr="00020763">
        <w:rPr>
          <w:vertAlign w:val="superscript"/>
        </w:rPr>
        <w:t>3</w:t>
      </w:r>
      <w:r w:rsidRPr="00020763">
        <w:t xml:space="preserve"> Правил № 23 щодо відповідності стану майна, отриманого в заставу/забезпечення на підставі права довірчої власності/активу, переданого банком у фінансовий лізинг (оренду), що враховується як застава, критеріям та принципам прийнятності забезпечення, визначеним Положенням № 351, сформоване на підставі всієї наявної інформації, включаючи публічну та/або отриману від боржника/</w:t>
      </w:r>
      <w:proofErr w:type="spellStart"/>
      <w:r w:rsidRPr="00020763">
        <w:t>заставодавця</w:t>
      </w:r>
      <w:proofErr w:type="spellEnd"/>
      <w:r w:rsidRPr="00020763">
        <w:t xml:space="preserve"> інформацію щодо майна, яке розташоване на територіях, </w:t>
      </w:r>
      <w:r w:rsidRPr="00020763">
        <w:rPr>
          <w:shd w:val="clear" w:color="auto" w:fill="FFFFFF"/>
        </w:rPr>
        <w:t xml:space="preserve">що зазнали/зазнають наслідків військової агресії. </w:t>
      </w:r>
    </w:p>
    <w:p w:rsidR="002B0472" w:rsidRPr="00020763" w:rsidRDefault="002B0472" w:rsidP="0020103B">
      <w:pPr>
        <w:ind w:firstLine="567"/>
      </w:pPr>
      <w:r w:rsidRPr="00020763">
        <w:t xml:space="preserve">До територій, </w:t>
      </w:r>
      <w:r w:rsidRPr="00020763">
        <w:rPr>
          <w:shd w:val="clear" w:color="auto" w:fill="FFFFFF"/>
        </w:rPr>
        <w:t xml:space="preserve">що зазнали/зазнають наслідків військової агресії, </w:t>
      </w:r>
      <w:r w:rsidR="0009252C" w:rsidRPr="00020763">
        <w:rPr>
          <w:shd w:val="clear" w:color="auto" w:fill="FFFFFF"/>
        </w:rPr>
        <w:t xml:space="preserve">належать </w:t>
      </w:r>
      <w:r w:rsidRPr="00020763">
        <w:rPr>
          <w:shd w:val="clear" w:color="auto" w:fill="FFFFFF"/>
        </w:rPr>
        <w:t xml:space="preserve">території можливих бойовий дій, щодо яких не </w:t>
      </w:r>
      <w:r w:rsidR="0009252C" w:rsidRPr="00020763">
        <w:rPr>
          <w:shd w:val="clear" w:color="auto" w:fill="FFFFFF"/>
        </w:rPr>
        <w:t xml:space="preserve">зазначена </w:t>
      </w:r>
      <w:r w:rsidRPr="00020763">
        <w:rPr>
          <w:shd w:val="clear" w:color="auto" w:fill="FFFFFF"/>
        </w:rPr>
        <w:t xml:space="preserve">дата припинення можливості бойових дій, території активних бойових дій, щодо яких не </w:t>
      </w:r>
      <w:r w:rsidR="0009252C" w:rsidRPr="00020763">
        <w:rPr>
          <w:shd w:val="clear" w:color="auto" w:fill="FFFFFF"/>
        </w:rPr>
        <w:t xml:space="preserve">зазначена </w:t>
      </w:r>
      <w:r w:rsidRPr="00020763">
        <w:rPr>
          <w:shd w:val="clear" w:color="auto" w:fill="FFFFFF"/>
        </w:rPr>
        <w:t xml:space="preserve">дата завершення бойових дій, тимчасово окуповані </w:t>
      </w:r>
      <w:r w:rsidRPr="00020763">
        <w:t>російською федерацією</w:t>
      </w:r>
      <w:r w:rsidRPr="00020763">
        <w:rPr>
          <w:shd w:val="clear" w:color="auto" w:fill="FFFFFF"/>
        </w:rPr>
        <w:t xml:space="preserve"> території України, щодо яких не </w:t>
      </w:r>
      <w:r w:rsidR="0009252C" w:rsidRPr="00020763">
        <w:rPr>
          <w:shd w:val="clear" w:color="auto" w:fill="FFFFFF"/>
        </w:rPr>
        <w:t xml:space="preserve">зазначена </w:t>
      </w:r>
      <w:r w:rsidRPr="00020763">
        <w:rPr>
          <w:shd w:val="clear" w:color="auto" w:fill="FFFFFF"/>
        </w:rPr>
        <w:t xml:space="preserve">дата завершення тимчасової окупації, </w:t>
      </w:r>
      <w:r w:rsidR="0009252C" w:rsidRPr="00020763">
        <w:t>визначені в</w:t>
      </w:r>
      <w:r w:rsidRPr="00020763">
        <w:t xml:space="preserve"> Переліку територій,</w:t>
      </w:r>
      <w:r w:rsidRPr="00020763">
        <w:rPr>
          <w:shd w:val="clear" w:color="auto" w:fill="FFFFFF"/>
        </w:rPr>
        <w:t xml:space="preserve"> </w:t>
      </w:r>
      <w:r w:rsidRPr="00020763">
        <w:t>на яких ведуться (велися) бойові дії або тимчасово окупованих Російською Федерацією, затвердженому наказом Міністерства з питань реінтеграції тимчасово окупованих територій України від 22 грудня 2022 року № 309, зареєстрованому в Міністерстві юстиції України 23 грудня 2022 року за №</w:t>
      </w:r>
      <w:r w:rsidR="0009252C" w:rsidRPr="00020763">
        <w:t> </w:t>
      </w:r>
      <w:r w:rsidRPr="00020763">
        <w:t>1668/39004 (зі змінами).</w:t>
      </w:r>
    </w:p>
    <w:p w:rsidR="002C1A57" w:rsidRPr="00020763" w:rsidRDefault="002C1A57" w:rsidP="00020763">
      <w:pPr>
        <w:tabs>
          <w:tab w:val="left" w:pos="1134"/>
        </w:tabs>
        <w:ind w:firstLine="567"/>
      </w:pPr>
    </w:p>
    <w:p w:rsidR="002B0472" w:rsidRPr="00020763" w:rsidRDefault="002B0472" w:rsidP="0020103B">
      <w:pPr>
        <w:pStyle w:val="af3"/>
        <w:numPr>
          <w:ilvl w:val="0"/>
          <w:numId w:val="44"/>
        </w:numPr>
        <w:ind w:left="0" w:firstLine="567"/>
        <w:contextualSpacing w:val="0"/>
        <w:rPr>
          <w:lang w:eastAsia="ru-RU"/>
        </w:rPr>
      </w:pPr>
      <w:r w:rsidRPr="00020763">
        <w:rPr>
          <w:lang w:eastAsia="ru-RU"/>
        </w:rPr>
        <w:t>Банк на підставі реєстру активів формує та систематизує кредити, що надані ЮО та ФО, розподіляючи їх на сегменти за такими характеристиками і в такому порядку:</w:t>
      </w:r>
    </w:p>
    <w:p w:rsidR="002B0472" w:rsidRPr="00020763" w:rsidRDefault="002B0472" w:rsidP="0020103B">
      <w:pPr>
        <w:pStyle w:val="af3"/>
        <w:ind w:left="0" w:firstLine="567"/>
        <w:contextualSpacing w:val="0"/>
        <w:rPr>
          <w:lang w:eastAsia="ru-RU"/>
        </w:rPr>
      </w:pPr>
    </w:p>
    <w:p w:rsidR="002B0472" w:rsidRPr="00020763" w:rsidRDefault="002B0472" w:rsidP="0020103B">
      <w:pPr>
        <w:pStyle w:val="af3"/>
        <w:numPr>
          <w:ilvl w:val="0"/>
          <w:numId w:val="22"/>
        </w:numPr>
        <w:ind w:left="0" w:firstLine="567"/>
        <w:rPr>
          <w:lang w:eastAsia="ru-RU"/>
        </w:rPr>
      </w:pPr>
      <w:r w:rsidRPr="00020763">
        <w:rPr>
          <w:lang w:eastAsia="ru-RU"/>
        </w:rPr>
        <w:lastRenderedPageBreak/>
        <w:t>тип боржника:</w:t>
      </w:r>
      <w:r w:rsidRPr="00020763">
        <w:t xml:space="preserve"> </w:t>
      </w:r>
      <w:r w:rsidRPr="00020763">
        <w:rPr>
          <w:lang w:eastAsia="ru-RU"/>
        </w:rPr>
        <w:t xml:space="preserve">ЮО, ФО; </w:t>
      </w:r>
    </w:p>
    <w:p w:rsidR="002B0472" w:rsidRPr="00020763" w:rsidRDefault="002B0472" w:rsidP="0020103B">
      <w:pPr>
        <w:pStyle w:val="af3"/>
        <w:ind w:left="0" w:firstLine="567"/>
        <w:rPr>
          <w:lang w:eastAsia="ru-RU"/>
        </w:rPr>
      </w:pPr>
    </w:p>
    <w:p w:rsidR="002B0472" w:rsidRPr="00020763" w:rsidRDefault="002B0472" w:rsidP="0020103B">
      <w:pPr>
        <w:pStyle w:val="af3"/>
        <w:numPr>
          <w:ilvl w:val="0"/>
          <w:numId w:val="22"/>
        </w:numPr>
        <w:shd w:val="clear" w:color="auto" w:fill="FFFFFF" w:themeFill="background1"/>
        <w:ind w:left="0" w:firstLine="567"/>
        <w:rPr>
          <w:lang w:eastAsia="ru-RU"/>
        </w:rPr>
      </w:pPr>
      <w:r w:rsidRPr="00020763">
        <w:rPr>
          <w:lang w:eastAsia="ru-RU"/>
        </w:rPr>
        <w:t xml:space="preserve">клас боржника: </w:t>
      </w:r>
    </w:p>
    <w:p w:rsidR="002B0472" w:rsidRPr="00020763" w:rsidRDefault="002B0472" w:rsidP="0020103B">
      <w:pPr>
        <w:ind w:firstLine="567"/>
        <w:rPr>
          <w:lang w:eastAsia="ru-RU"/>
        </w:rPr>
      </w:pPr>
      <w:r w:rsidRPr="00020763">
        <w:rPr>
          <w:lang w:eastAsia="ru-RU"/>
        </w:rPr>
        <w:t xml:space="preserve">для боржників – ЮО групування здійснюється за класами: від 1 до 4 класу, від 5 до 9 класу та 10 клас (для кредитів під інвестиційний </w:t>
      </w:r>
      <w:proofErr w:type="spellStart"/>
      <w:r w:rsidRPr="00020763">
        <w:rPr>
          <w:lang w:eastAsia="ru-RU"/>
        </w:rPr>
        <w:t>проєкт</w:t>
      </w:r>
      <w:proofErr w:type="spellEnd"/>
      <w:r w:rsidRPr="00020763">
        <w:rPr>
          <w:lang w:eastAsia="ru-RU"/>
        </w:rPr>
        <w:t xml:space="preserve"> та за спеціалізованими кредитами групування здійснюється за класами: 1 клас, від 2 до 4 класу, 5 клас);</w:t>
      </w:r>
    </w:p>
    <w:p w:rsidR="002B0472" w:rsidRPr="00020763" w:rsidRDefault="002B0472" w:rsidP="0020103B">
      <w:pPr>
        <w:pStyle w:val="af3"/>
        <w:shd w:val="clear" w:color="auto" w:fill="FFFFFF" w:themeFill="background1"/>
        <w:ind w:left="0" w:firstLine="567"/>
        <w:rPr>
          <w:lang w:eastAsia="ru-RU"/>
        </w:rPr>
      </w:pPr>
      <w:r w:rsidRPr="00020763">
        <w:rPr>
          <w:lang w:eastAsia="ru-RU"/>
        </w:rPr>
        <w:t>для боржників – ФО групування здійснюється за класами: 1 клас, від 2 до 4 класу, 5 клас;</w:t>
      </w:r>
    </w:p>
    <w:p w:rsidR="002B0472" w:rsidRPr="00020763" w:rsidRDefault="002B0472" w:rsidP="0020103B">
      <w:pPr>
        <w:shd w:val="clear" w:color="auto" w:fill="FFFFFF" w:themeFill="background1"/>
        <w:ind w:firstLine="567"/>
        <w:rPr>
          <w:lang w:eastAsia="ru-RU"/>
        </w:rPr>
      </w:pPr>
    </w:p>
    <w:p w:rsidR="002B0472" w:rsidRPr="00020763" w:rsidRDefault="002B0472" w:rsidP="0020103B">
      <w:pPr>
        <w:pStyle w:val="af3"/>
        <w:numPr>
          <w:ilvl w:val="0"/>
          <w:numId w:val="22"/>
        </w:numPr>
        <w:ind w:left="0" w:firstLine="567"/>
        <w:rPr>
          <w:lang w:eastAsia="ru-RU"/>
        </w:rPr>
      </w:pPr>
      <w:r w:rsidRPr="00020763">
        <w:rPr>
          <w:lang w:eastAsia="ru-RU"/>
        </w:rPr>
        <w:t>вид валюти для боржників ЮО: національна, іноземна;</w:t>
      </w:r>
    </w:p>
    <w:p w:rsidR="002B0472" w:rsidRPr="00020763" w:rsidRDefault="002B0472" w:rsidP="0020103B">
      <w:pPr>
        <w:pStyle w:val="af3"/>
        <w:ind w:left="0" w:firstLine="567"/>
        <w:rPr>
          <w:lang w:eastAsia="ru-RU"/>
        </w:rPr>
      </w:pPr>
    </w:p>
    <w:p w:rsidR="002B0472" w:rsidRPr="00020763" w:rsidRDefault="002B0472" w:rsidP="0020103B">
      <w:pPr>
        <w:pStyle w:val="af3"/>
        <w:numPr>
          <w:ilvl w:val="0"/>
          <w:numId w:val="22"/>
        </w:numPr>
        <w:ind w:left="0" w:firstLine="567"/>
        <w:contextualSpacing w:val="0"/>
        <w:rPr>
          <w:lang w:eastAsia="ru-RU"/>
        </w:rPr>
      </w:pPr>
      <w:r w:rsidRPr="00020763">
        <w:rPr>
          <w:lang w:eastAsia="ru-RU"/>
        </w:rPr>
        <w:t xml:space="preserve">переважний вид застави за кредитами, що надані ФО, заставою за якими є: </w:t>
      </w:r>
    </w:p>
    <w:p w:rsidR="002B0472" w:rsidRPr="00020763" w:rsidRDefault="002B0472" w:rsidP="0020103B">
      <w:pPr>
        <w:ind w:firstLine="567"/>
        <w:rPr>
          <w:lang w:eastAsia="ru-RU"/>
        </w:rPr>
      </w:pPr>
      <w:r w:rsidRPr="00020763">
        <w:rPr>
          <w:lang w:eastAsia="ru-RU"/>
        </w:rPr>
        <w:t>нерухоме майно та/або транспортні засоби;</w:t>
      </w:r>
    </w:p>
    <w:p w:rsidR="002B0472" w:rsidRPr="00020763" w:rsidRDefault="002B0472" w:rsidP="0020103B">
      <w:pPr>
        <w:ind w:firstLine="567"/>
        <w:rPr>
          <w:lang w:eastAsia="ru-RU"/>
        </w:rPr>
      </w:pPr>
      <w:r w:rsidRPr="00020763">
        <w:rPr>
          <w:lang w:eastAsia="ru-RU"/>
        </w:rPr>
        <w:t>інші види застави або застав</w:t>
      </w:r>
      <w:r w:rsidR="0009252C" w:rsidRPr="00020763">
        <w:rPr>
          <w:lang w:eastAsia="ru-RU"/>
        </w:rPr>
        <w:t>и</w:t>
      </w:r>
      <w:r w:rsidRPr="00020763">
        <w:rPr>
          <w:lang w:eastAsia="ru-RU"/>
        </w:rPr>
        <w:t xml:space="preserve"> </w:t>
      </w:r>
      <w:r w:rsidR="0009252C" w:rsidRPr="00020763">
        <w:rPr>
          <w:lang w:eastAsia="ru-RU"/>
        </w:rPr>
        <w:t>немає</w:t>
      </w:r>
      <w:r w:rsidRPr="00020763">
        <w:rPr>
          <w:lang w:eastAsia="ru-RU"/>
        </w:rPr>
        <w:t xml:space="preserve">. </w:t>
      </w:r>
    </w:p>
    <w:p w:rsidR="002B0472" w:rsidRPr="00020763" w:rsidRDefault="006D13B5" w:rsidP="0020103B">
      <w:pPr>
        <w:pStyle w:val="af3"/>
        <w:ind w:left="0" w:firstLine="567"/>
        <w:contextualSpacing w:val="0"/>
        <w:rPr>
          <w:lang w:eastAsia="ru-RU"/>
        </w:rPr>
      </w:pPr>
      <w:r w:rsidRPr="00020763">
        <w:rPr>
          <w:lang w:eastAsia="ru-RU"/>
        </w:rPr>
        <w:t>Банк у</w:t>
      </w:r>
      <w:r w:rsidR="002B0472" w:rsidRPr="00020763">
        <w:rPr>
          <w:lang w:eastAsia="ru-RU"/>
        </w:rPr>
        <w:t xml:space="preserve"> межах кожного сегмента систематизує боржників у порядку зменшення суми боргу. </w:t>
      </w:r>
    </w:p>
    <w:p w:rsidR="002B0472" w:rsidRPr="00020763" w:rsidRDefault="002B0472" w:rsidP="0020103B">
      <w:pPr>
        <w:pStyle w:val="af3"/>
        <w:ind w:left="0" w:firstLine="567"/>
        <w:contextualSpacing w:val="0"/>
        <w:rPr>
          <w:lang w:eastAsia="ru-RU"/>
        </w:rPr>
      </w:pPr>
    </w:p>
    <w:p w:rsidR="002B0472" w:rsidRPr="00020763" w:rsidRDefault="002B0472" w:rsidP="0020103B">
      <w:pPr>
        <w:pStyle w:val="af3"/>
        <w:numPr>
          <w:ilvl w:val="0"/>
          <w:numId w:val="44"/>
        </w:numPr>
        <w:ind w:left="0" w:firstLine="567"/>
        <w:contextualSpacing w:val="0"/>
        <w:rPr>
          <w:lang w:eastAsia="ru-RU"/>
        </w:rPr>
      </w:pPr>
      <w:r w:rsidRPr="00020763">
        <w:rPr>
          <w:lang w:eastAsia="ru-RU"/>
        </w:rPr>
        <w:t>Банк здійснює перевірку достовірності (відповідності) та повноти інформації, що міститься в реєстрі активів. Така перевірка включає:</w:t>
      </w:r>
    </w:p>
    <w:p w:rsidR="002B0472" w:rsidRPr="00020763" w:rsidRDefault="002B0472" w:rsidP="0020103B">
      <w:pPr>
        <w:pStyle w:val="af3"/>
        <w:ind w:left="0" w:firstLine="567"/>
        <w:contextualSpacing w:val="0"/>
        <w:rPr>
          <w:lang w:eastAsia="ru-RU"/>
        </w:rPr>
      </w:pPr>
    </w:p>
    <w:p w:rsidR="002B0472" w:rsidRPr="00020763" w:rsidRDefault="002B0472" w:rsidP="0020103B">
      <w:pPr>
        <w:pStyle w:val="af3"/>
        <w:numPr>
          <w:ilvl w:val="0"/>
          <w:numId w:val="23"/>
        </w:numPr>
        <w:ind w:left="0" w:firstLine="567"/>
        <w:rPr>
          <w:lang w:eastAsia="ru-RU"/>
        </w:rPr>
      </w:pPr>
      <w:r w:rsidRPr="00020763">
        <w:rPr>
          <w:lang w:eastAsia="ru-RU"/>
        </w:rPr>
        <w:t>вивіряння даних на відповідність (тобто вивіряння банківських автоматизованих перевірок, що підтверджують відповідність інформації в реєстрі кредитів первинним джерелам інформації);</w:t>
      </w:r>
    </w:p>
    <w:p w:rsidR="002B0472" w:rsidRPr="00020763" w:rsidRDefault="002B0472" w:rsidP="0020103B">
      <w:pPr>
        <w:ind w:firstLine="567"/>
        <w:rPr>
          <w:lang w:eastAsia="ru-RU"/>
        </w:rPr>
      </w:pPr>
    </w:p>
    <w:p w:rsidR="002B0472" w:rsidRPr="00020763" w:rsidRDefault="002B0472" w:rsidP="0020103B">
      <w:pPr>
        <w:pStyle w:val="af3"/>
        <w:numPr>
          <w:ilvl w:val="0"/>
          <w:numId w:val="23"/>
        </w:numPr>
        <w:ind w:left="0" w:firstLine="567"/>
        <w:rPr>
          <w:lang w:eastAsia="ru-RU"/>
        </w:rPr>
      </w:pPr>
      <w:r w:rsidRPr="00020763">
        <w:rPr>
          <w:lang w:eastAsia="ru-RU"/>
        </w:rPr>
        <w:t>специфічні перевірки полів (виявлення помилок, пропущених та/або невідповідних значень, форматів, повторюваних значень);</w:t>
      </w:r>
    </w:p>
    <w:p w:rsidR="002B0472" w:rsidRPr="00020763" w:rsidRDefault="002B0472" w:rsidP="0020103B">
      <w:pPr>
        <w:pStyle w:val="af3"/>
        <w:ind w:left="0" w:firstLine="567"/>
        <w:rPr>
          <w:lang w:eastAsia="ru-RU"/>
        </w:rPr>
      </w:pPr>
    </w:p>
    <w:p w:rsidR="002B0472" w:rsidRPr="00020763" w:rsidRDefault="002B0472" w:rsidP="0020103B">
      <w:pPr>
        <w:pStyle w:val="af3"/>
        <w:numPr>
          <w:ilvl w:val="0"/>
          <w:numId w:val="23"/>
        </w:numPr>
        <w:ind w:left="0" w:firstLine="567"/>
        <w:rPr>
          <w:lang w:eastAsia="ru-RU"/>
        </w:rPr>
      </w:pPr>
      <w:r w:rsidRPr="00020763">
        <w:rPr>
          <w:lang w:eastAsia="ru-RU"/>
        </w:rPr>
        <w:t xml:space="preserve">перехресні перевірки полів (перевірка на невідповідність між полями, кредит прострочений понад 90 днів, але не позначений у полі “непрацюючий актив”); </w:t>
      </w:r>
    </w:p>
    <w:p w:rsidR="002B0472" w:rsidRPr="00020763" w:rsidRDefault="002B0472" w:rsidP="0020103B">
      <w:pPr>
        <w:pStyle w:val="af3"/>
        <w:ind w:left="0" w:firstLine="567"/>
        <w:rPr>
          <w:lang w:eastAsia="ru-RU"/>
        </w:rPr>
      </w:pPr>
    </w:p>
    <w:p w:rsidR="002B0472" w:rsidRPr="00020763" w:rsidRDefault="002B0472" w:rsidP="0020103B">
      <w:pPr>
        <w:pStyle w:val="af3"/>
        <w:numPr>
          <w:ilvl w:val="0"/>
          <w:numId w:val="23"/>
        </w:numPr>
        <w:ind w:left="0" w:firstLine="567"/>
        <w:rPr>
          <w:lang w:eastAsia="ru-RU"/>
        </w:rPr>
      </w:pPr>
      <w:r w:rsidRPr="00020763">
        <w:rPr>
          <w:lang w:eastAsia="ru-RU"/>
        </w:rPr>
        <w:t>перехресні перевірки на адекватність часовим обмеженням (кредит, виданий у липні 2022 року, не може бути прострочений понад 90 днів у серпні 2022 року);</w:t>
      </w:r>
    </w:p>
    <w:p w:rsidR="002B0472" w:rsidRPr="00020763" w:rsidRDefault="002B0472" w:rsidP="0020103B">
      <w:pPr>
        <w:pStyle w:val="af3"/>
        <w:ind w:left="0" w:firstLine="567"/>
        <w:rPr>
          <w:lang w:eastAsia="ru-RU"/>
        </w:rPr>
      </w:pPr>
    </w:p>
    <w:p w:rsidR="002B0472" w:rsidRPr="00020763" w:rsidRDefault="002B0472" w:rsidP="0020103B">
      <w:pPr>
        <w:pStyle w:val="af3"/>
        <w:numPr>
          <w:ilvl w:val="0"/>
          <w:numId w:val="23"/>
        </w:numPr>
        <w:ind w:left="0" w:firstLine="567"/>
        <w:rPr>
          <w:lang w:eastAsia="ru-RU"/>
        </w:rPr>
      </w:pPr>
      <w:r w:rsidRPr="00020763">
        <w:rPr>
          <w:lang w:eastAsia="ru-RU"/>
        </w:rPr>
        <w:t xml:space="preserve">перевірку даних на відповідність даним статистичної звітності (співставлення загальних обсягів кредитної заборгованості, її складових та кредитного ризику, наданих у реєстрі активів, з відповідними даними показників файлів статистичної звітності на звітну дату). </w:t>
      </w:r>
    </w:p>
    <w:p w:rsidR="002B0472" w:rsidRPr="00020763" w:rsidRDefault="002B0472" w:rsidP="0020103B">
      <w:pPr>
        <w:pStyle w:val="af3"/>
        <w:ind w:left="0" w:firstLine="567"/>
        <w:rPr>
          <w:i/>
          <w:lang w:eastAsia="ru-RU"/>
        </w:rPr>
      </w:pPr>
    </w:p>
    <w:p w:rsidR="002B0472" w:rsidRPr="00020763" w:rsidRDefault="002B0472" w:rsidP="0020103B">
      <w:pPr>
        <w:pStyle w:val="ParagraphNumbering"/>
        <w:numPr>
          <w:ilvl w:val="0"/>
          <w:numId w:val="44"/>
        </w:numPr>
        <w:spacing w:after="0"/>
        <w:ind w:left="0" w:firstLine="567"/>
        <w:jc w:val="both"/>
        <w:rPr>
          <w:bCs/>
          <w:sz w:val="28"/>
          <w:szCs w:val="28"/>
          <w:lang w:val="uk-UA" w:eastAsia="ru-RU"/>
        </w:rPr>
      </w:pPr>
      <w:r w:rsidRPr="00020763">
        <w:rPr>
          <w:sz w:val="28"/>
          <w:szCs w:val="28"/>
          <w:lang w:val="uk-UA" w:eastAsia="ru-RU"/>
        </w:rPr>
        <w:lastRenderedPageBreak/>
        <w:t xml:space="preserve">Реєстр активів має бути підписаний керівником банку з використанням кваліфікованого електронного підпису, який має таку саму юридичну силу, як і власноручний підпис відповідно до Закону України “Про електронні довірчі послуги”, і поданий банком в електронному вигляді </w:t>
      </w:r>
      <w:r w:rsidRPr="00020763">
        <w:rPr>
          <w:sz w:val="28"/>
          <w:szCs w:val="28"/>
          <w:lang w:val="uk-UA"/>
        </w:rPr>
        <w:t xml:space="preserve">із супровідним листом </w:t>
      </w:r>
      <w:r w:rsidRPr="00020763">
        <w:rPr>
          <w:sz w:val="28"/>
          <w:szCs w:val="28"/>
          <w:lang w:val="uk-UA" w:eastAsia="ru-RU"/>
        </w:rPr>
        <w:t xml:space="preserve">на адресу Департаменту інспектування Національного банку засобами АРМ-НБУ-інформаційний (Задача Т) </w:t>
      </w:r>
      <w:r w:rsidR="0009252C" w:rsidRPr="001D60B7">
        <w:rPr>
          <w:sz w:val="28"/>
          <w:szCs w:val="28"/>
          <w:lang w:val="uk-UA" w:eastAsia="ru-RU"/>
        </w:rPr>
        <w:t>учаснику інформаційної мережі Національного банку 3HS</w:t>
      </w:r>
      <w:r w:rsidRPr="00797AF2">
        <w:rPr>
          <w:lang w:val="uk-UA" w:eastAsia="ru-RU"/>
        </w:rPr>
        <w:t>.</w:t>
      </w:r>
      <w:r w:rsidRPr="00020763">
        <w:rPr>
          <w:rStyle w:val="defaultchar"/>
          <w:rFonts w:eastAsiaTheme="majorEastAsia"/>
          <w:sz w:val="28"/>
          <w:szCs w:val="28"/>
          <w:lang w:val="uk-UA"/>
        </w:rPr>
        <w:t xml:space="preserve"> </w:t>
      </w:r>
      <w:r w:rsidRPr="00020763">
        <w:rPr>
          <w:sz w:val="28"/>
          <w:szCs w:val="28"/>
          <w:lang w:val="uk-UA" w:eastAsia="ru-RU"/>
        </w:rPr>
        <w:t xml:space="preserve">Підписаний файл повинен мати розширення “p7s” та в перших трьох позиціях назви </w:t>
      </w:r>
      <w:proofErr w:type="spellStart"/>
      <w:r w:rsidRPr="00020763">
        <w:rPr>
          <w:sz w:val="28"/>
          <w:szCs w:val="28"/>
          <w:lang w:val="uk-UA" w:eastAsia="ru-RU"/>
        </w:rPr>
        <w:t>файла</w:t>
      </w:r>
      <w:proofErr w:type="spellEnd"/>
      <w:r w:rsidRPr="00020763">
        <w:rPr>
          <w:sz w:val="28"/>
          <w:szCs w:val="28"/>
          <w:lang w:val="uk-UA" w:eastAsia="ru-RU"/>
        </w:rPr>
        <w:t xml:space="preserve"> містити NKB банку.</w:t>
      </w:r>
    </w:p>
    <w:p w:rsidR="002B0472" w:rsidRPr="00020763" w:rsidRDefault="002B0472" w:rsidP="00020763">
      <w:pPr>
        <w:tabs>
          <w:tab w:val="left" w:pos="567"/>
        </w:tabs>
        <w:ind w:firstLine="567"/>
        <w:jc w:val="center"/>
        <w:rPr>
          <w:lang w:eastAsia="ru-RU"/>
        </w:rPr>
      </w:pPr>
    </w:p>
    <w:p w:rsidR="00CC7FD0" w:rsidRPr="00020763" w:rsidRDefault="004455F4" w:rsidP="0020103B">
      <w:pPr>
        <w:jc w:val="center"/>
        <w:rPr>
          <w:bCs/>
        </w:rPr>
      </w:pPr>
      <w:r w:rsidRPr="00020763">
        <w:rPr>
          <w:lang w:eastAsia="ru-RU"/>
        </w:rPr>
        <w:t>І</w:t>
      </w:r>
      <w:r w:rsidR="00CC7FD0" w:rsidRPr="00020763">
        <w:rPr>
          <w:lang w:eastAsia="ru-RU"/>
        </w:rPr>
        <w:t>ІІ. Етапи о</w:t>
      </w:r>
      <w:r w:rsidR="00CC7FD0" w:rsidRPr="00020763">
        <w:rPr>
          <w:bCs/>
        </w:rPr>
        <w:t>цінки стійкості банку</w:t>
      </w:r>
    </w:p>
    <w:p w:rsidR="00CC7FD0" w:rsidRPr="00020763" w:rsidRDefault="00CC7FD0" w:rsidP="00020763">
      <w:pPr>
        <w:ind w:firstLine="567"/>
        <w:jc w:val="left"/>
      </w:pPr>
    </w:p>
    <w:p w:rsidR="00CC7FD0" w:rsidRPr="00020763" w:rsidRDefault="004455F4" w:rsidP="00020763">
      <w:pPr>
        <w:ind w:firstLine="567"/>
      </w:pPr>
      <w:r w:rsidRPr="00020763">
        <w:t>9</w:t>
      </w:r>
      <w:r w:rsidR="00CC7FD0" w:rsidRPr="00020763">
        <w:t xml:space="preserve">. Національний банк розпорядчим актом </w:t>
      </w:r>
      <w:r w:rsidR="00CC7FD0" w:rsidRPr="00020763">
        <w:rPr>
          <w:lang w:eastAsia="ru-RU"/>
        </w:rPr>
        <w:t>установлює</w:t>
      </w:r>
      <w:r w:rsidR="00B02C71" w:rsidRPr="00020763">
        <w:rPr>
          <w:lang w:eastAsia="ru-RU"/>
        </w:rPr>
        <w:t xml:space="preserve"> </w:t>
      </w:r>
      <w:r w:rsidR="00CC7FD0" w:rsidRPr="00020763">
        <w:rPr>
          <w:lang w:eastAsia="ru-RU"/>
        </w:rPr>
        <w:t xml:space="preserve">процедуру проведення оцінки стійкості банків і банківської </w:t>
      </w:r>
      <w:r w:rsidR="00051E27" w:rsidRPr="00020763">
        <w:rPr>
          <w:lang w:eastAsia="ru-RU"/>
        </w:rPr>
        <w:t>системи України в</w:t>
      </w:r>
      <w:r w:rsidR="00CC7FD0" w:rsidRPr="00020763">
        <w:rPr>
          <w:lang w:eastAsia="ru-RU"/>
        </w:rPr>
        <w:t xml:space="preserve"> 2023 році (далі – Технічне завдання) та доводить </w:t>
      </w:r>
      <w:r w:rsidR="0009252C" w:rsidRPr="00020763">
        <w:rPr>
          <w:lang w:eastAsia="ru-RU"/>
        </w:rPr>
        <w:t xml:space="preserve">зміст </w:t>
      </w:r>
      <w:r w:rsidR="00CC7FD0" w:rsidRPr="00020763">
        <w:rPr>
          <w:lang w:eastAsia="ru-RU"/>
        </w:rPr>
        <w:t>ц</w:t>
      </w:r>
      <w:r w:rsidR="0009252C" w:rsidRPr="00020763">
        <w:rPr>
          <w:lang w:eastAsia="ru-RU"/>
        </w:rPr>
        <w:t>ього</w:t>
      </w:r>
      <w:r w:rsidR="00CC7FD0" w:rsidRPr="00020763">
        <w:rPr>
          <w:lang w:eastAsia="ru-RU"/>
        </w:rPr>
        <w:t xml:space="preserve"> рішення до відома банків</w:t>
      </w:r>
      <w:r w:rsidR="00CC7FD0" w:rsidRPr="00020763">
        <w:t>.</w:t>
      </w:r>
    </w:p>
    <w:p w:rsidR="00B02C71" w:rsidRPr="00020763" w:rsidRDefault="00B02C71" w:rsidP="00020763">
      <w:pPr>
        <w:ind w:firstLine="567"/>
      </w:pPr>
    </w:p>
    <w:p w:rsidR="00B02C71" w:rsidRPr="00020763" w:rsidRDefault="004455F4" w:rsidP="00020763">
      <w:pPr>
        <w:tabs>
          <w:tab w:val="left" w:pos="360"/>
          <w:tab w:val="left" w:pos="851"/>
        </w:tabs>
        <w:ind w:firstLine="567"/>
      </w:pPr>
      <w:r w:rsidRPr="00020763">
        <w:rPr>
          <w:lang w:val="ru-RU"/>
        </w:rPr>
        <w:t>10</w:t>
      </w:r>
      <w:r w:rsidR="00B02C71" w:rsidRPr="00020763">
        <w:t>. О</w:t>
      </w:r>
      <w:r w:rsidR="00B02C71" w:rsidRPr="00020763">
        <w:rPr>
          <w:lang w:eastAsia="ru-RU"/>
        </w:rPr>
        <w:t xml:space="preserve">цінка стійкості банку </w:t>
      </w:r>
      <w:r w:rsidR="00B02C71" w:rsidRPr="00020763">
        <w:t>складається з трьох етапів:</w:t>
      </w:r>
    </w:p>
    <w:p w:rsidR="00B02C71" w:rsidRPr="00020763" w:rsidRDefault="00B02C71" w:rsidP="00020763">
      <w:pPr>
        <w:tabs>
          <w:tab w:val="left" w:pos="360"/>
          <w:tab w:val="left" w:pos="851"/>
        </w:tabs>
        <w:ind w:firstLine="567"/>
      </w:pPr>
    </w:p>
    <w:p w:rsidR="00B02C71" w:rsidRPr="00020763" w:rsidRDefault="00B02C71" w:rsidP="00020763">
      <w:pPr>
        <w:pStyle w:val="ParagraphNumbering"/>
        <w:tabs>
          <w:tab w:val="left" w:pos="1074"/>
        </w:tabs>
        <w:spacing w:after="0"/>
        <w:ind w:firstLine="567"/>
        <w:jc w:val="both"/>
        <w:rPr>
          <w:bCs/>
          <w:sz w:val="28"/>
          <w:szCs w:val="28"/>
          <w:lang w:val="uk-UA" w:eastAsia="ru-RU"/>
        </w:rPr>
      </w:pPr>
      <w:r w:rsidRPr="00020763">
        <w:rPr>
          <w:sz w:val="28"/>
          <w:szCs w:val="28"/>
          <w:lang w:val="uk-UA" w:eastAsia="ru-RU"/>
        </w:rPr>
        <w:t xml:space="preserve">1) перший етап </w:t>
      </w:r>
      <w:r w:rsidRPr="00020763">
        <w:rPr>
          <w:bCs/>
          <w:sz w:val="28"/>
          <w:szCs w:val="28"/>
          <w:lang w:val="uk-UA" w:eastAsia="ru-RU"/>
        </w:rPr>
        <w:t>включає:</w:t>
      </w:r>
    </w:p>
    <w:p w:rsidR="008851A1" w:rsidRPr="00020763" w:rsidRDefault="00B02C71" w:rsidP="00020763">
      <w:pPr>
        <w:pStyle w:val="ParagraphNumbering"/>
        <w:tabs>
          <w:tab w:val="left" w:pos="1074"/>
        </w:tabs>
        <w:spacing w:after="0"/>
        <w:ind w:firstLine="567"/>
        <w:jc w:val="both"/>
        <w:rPr>
          <w:sz w:val="28"/>
          <w:szCs w:val="28"/>
          <w:lang w:val="uk-UA"/>
        </w:rPr>
      </w:pPr>
      <w:r w:rsidRPr="00020763">
        <w:rPr>
          <w:sz w:val="28"/>
          <w:szCs w:val="28"/>
          <w:lang w:val="uk-UA" w:eastAsia="ru-RU"/>
        </w:rPr>
        <w:t>оцінк</w:t>
      </w:r>
      <w:r w:rsidR="009B3CAC" w:rsidRPr="00020763">
        <w:rPr>
          <w:bCs/>
          <w:sz w:val="28"/>
          <w:szCs w:val="28"/>
          <w:lang w:val="uk-UA" w:eastAsia="ru-RU"/>
        </w:rPr>
        <w:t>у</w:t>
      </w:r>
      <w:r w:rsidRPr="00020763">
        <w:rPr>
          <w:sz w:val="28"/>
          <w:szCs w:val="28"/>
          <w:lang w:val="uk-UA" w:eastAsia="ru-RU"/>
        </w:rPr>
        <w:t xml:space="preserve"> якості активів</w:t>
      </w:r>
      <w:r w:rsidR="00CD23B7" w:rsidRPr="00020763">
        <w:rPr>
          <w:sz w:val="28"/>
          <w:szCs w:val="28"/>
          <w:lang w:val="uk-UA" w:eastAsia="ru-RU"/>
        </w:rPr>
        <w:t xml:space="preserve"> та прийнятності забезпечення за кредитними операціями;</w:t>
      </w:r>
      <w:r w:rsidR="00AA3645" w:rsidRPr="00020763">
        <w:rPr>
          <w:sz w:val="28"/>
          <w:szCs w:val="28"/>
          <w:lang w:val="uk-UA"/>
        </w:rPr>
        <w:t xml:space="preserve"> </w:t>
      </w:r>
    </w:p>
    <w:p w:rsidR="008851A1" w:rsidRPr="00020763" w:rsidRDefault="009B3CAC" w:rsidP="00020763">
      <w:pPr>
        <w:pStyle w:val="ParagraphNumbering"/>
        <w:tabs>
          <w:tab w:val="left" w:pos="1074"/>
        </w:tabs>
        <w:spacing w:after="0"/>
        <w:ind w:firstLine="567"/>
        <w:jc w:val="both"/>
        <w:rPr>
          <w:strike/>
          <w:sz w:val="28"/>
          <w:szCs w:val="28"/>
          <w:lang w:val="uk-UA"/>
        </w:rPr>
      </w:pPr>
      <w:r w:rsidRPr="00020763">
        <w:rPr>
          <w:sz w:val="28"/>
          <w:szCs w:val="28"/>
          <w:lang w:val="uk-UA"/>
        </w:rPr>
        <w:t>перевірку</w:t>
      </w:r>
      <w:r w:rsidR="00AA3645" w:rsidRPr="00020763">
        <w:rPr>
          <w:sz w:val="28"/>
          <w:szCs w:val="28"/>
          <w:lang w:val="uk-UA"/>
        </w:rPr>
        <w:t xml:space="preserve"> оцінки вартості майна</w:t>
      </w:r>
      <w:r w:rsidR="008B5393" w:rsidRPr="00020763">
        <w:rPr>
          <w:sz w:val="28"/>
          <w:szCs w:val="28"/>
          <w:lang w:val="uk-UA"/>
        </w:rPr>
        <w:t xml:space="preserve"> (здійснення заходу/захо</w:t>
      </w:r>
      <w:r w:rsidR="00AF3588" w:rsidRPr="00020763">
        <w:rPr>
          <w:sz w:val="28"/>
          <w:szCs w:val="28"/>
          <w:lang w:val="uk-UA"/>
        </w:rPr>
        <w:t>дів, зазначених у підпунктах 1</w:t>
      </w:r>
      <w:r w:rsidR="0009252C" w:rsidRPr="00020763">
        <w:rPr>
          <w:sz w:val="28"/>
          <w:szCs w:val="28"/>
          <w:lang w:val="uk-UA"/>
        </w:rPr>
        <w:t>−</w:t>
      </w:r>
      <w:r w:rsidR="00AF3588" w:rsidRPr="00020763">
        <w:rPr>
          <w:sz w:val="28"/>
          <w:szCs w:val="28"/>
          <w:lang w:val="uk-UA"/>
        </w:rPr>
        <w:t>4</w:t>
      </w:r>
      <w:r w:rsidR="008B5393" w:rsidRPr="00020763">
        <w:rPr>
          <w:sz w:val="28"/>
          <w:szCs w:val="28"/>
          <w:lang w:val="uk-UA"/>
        </w:rPr>
        <w:t xml:space="preserve"> пункту </w:t>
      </w:r>
      <w:r w:rsidR="004455F4" w:rsidRPr="00020763">
        <w:rPr>
          <w:sz w:val="28"/>
          <w:szCs w:val="28"/>
          <w:lang w:val="ru-RU"/>
        </w:rPr>
        <w:t>14</w:t>
      </w:r>
      <w:r w:rsidR="008B5393" w:rsidRPr="00020763">
        <w:rPr>
          <w:sz w:val="28"/>
          <w:szCs w:val="28"/>
          <w:lang w:val="uk-UA"/>
        </w:rPr>
        <w:t xml:space="preserve"> розділу І</w:t>
      </w:r>
      <w:r w:rsidR="004455F4" w:rsidRPr="00020763">
        <w:rPr>
          <w:sz w:val="28"/>
          <w:szCs w:val="28"/>
        </w:rPr>
        <w:t>I</w:t>
      </w:r>
      <w:r w:rsidR="008B5393" w:rsidRPr="00020763">
        <w:rPr>
          <w:sz w:val="28"/>
          <w:szCs w:val="28"/>
          <w:lang w:val="uk-UA"/>
        </w:rPr>
        <w:t>І цих Правил)</w:t>
      </w:r>
      <w:r w:rsidRPr="00020763">
        <w:rPr>
          <w:sz w:val="28"/>
          <w:szCs w:val="28"/>
          <w:lang w:val="uk-UA"/>
        </w:rPr>
        <w:t>;</w:t>
      </w:r>
    </w:p>
    <w:p w:rsidR="00B93BA5" w:rsidRPr="00020763" w:rsidRDefault="00560C67" w:rsidP="00020763">
      <w:pPr>
        <w:ind w:firstLine="567"/>
      </w:pPr>
      <w:r w:rsidRPr="00020763">
        <w:rPr>
          <w:lang w:eastAsia="ru-RU"/>
        </w:rPr>
        <w:t xml:space="preserve">розрахунок </w:t>
      </w:r>
      <w:r w:rsidR="00A15DAC" w:rsidRPr="00020763">
        <w:rPr>
          <w:lang w:eastAsia="ru-RU"/>
        </w:rPr>
        <w:t xml:space="preserve">розміру </w:t>
      </w:r>
      <w:r w:rsidR="001C34D9" w:rsidRPr="00020763">
        <w:rPr>
          <w:lang w:eastAsia="ru-RU"/>
        </w:rPr>
        <w:t xml:space="preserve">регулятивного </w:t>
      </w:r>
      <w:r w:rsidR="00A15DAC" w:rsidRPr="00020763">
        <w:rPr>
          <w:lang w:eastAsia="ru-RU"/>
        </w:rPr>
        <w:t xml:space="preserve">капіталу, </w:t>
      </w:r>
      <w:r w:rsidR="001C34D9" w:rsidRPr="00020763">
        <w:rPr>
          <w:lang w:eastAsia="ru-RU"/>
        </w:rPr>
        <w:t xml:space="preserve">основного </w:t>
      </w:r>
      <w:r w:rsidR="00A15DAC" w:rsidRPr="00020763">
        <w:rPr>
          <w:lang w:eastAsia="ru-RU"/>
        </w:rPr>
        <w:t xml:space="preserve">капіталу, значень </w:t>
      </w:r>
      <w:r w:rsidRPr="00020763">
        <w:rPr>
          <w:lang w:eastAsia="ru-RU"/>
        </w:rPr>
        <w:t>нормативів достатності капіталу</w:t>
      </w:r>
      <w:bookmarkStart w:id="1" w:name="_Hlk124104437"/>
      <w:r w:rsidR="007222EE" w:rsidRPr="00020763">
        <w:rPr>
          <w:lang w:eastAsia="ru-RU"/>
        </w:rPr>
        <w:t xml:space="preserve"> (з урахуванням оцінки якості активів та прийнятності забезпе</w:t>
      </w:r>
      <w:r w:rsidR="00A6398B" w:rsidRPr="00020763">
        <w:rPr>
          <w:lang w:eastAsia="ru-RU"/>
        </w:rPr>
        <w:t>ч</w:t>
      </w:r>
      <w:r w:rsidR="00261F88" w:rsidRPr="00020763">
        <w:rPr>
          <w:lang w:eastAsia="ru-RU"/>
        </w:rPr>
        <w:t>ення за кредитними операціями,</w:t>
      </w:r>
      <w:r w:rsidR="00A6398B" w:rsidRPr="00020763">
        <w:rPr>
          <w:lang w:eastAsia="ru-RU"/>
        </w:rPr>
        <w:t xml:space="preserve"> </w:t>
      </w:r>
      <w:r w:rsidR="007222EE" w:rsidRPr="00020763">
        <w:rPr>
          <w:lang w:eastAsia="ru-RU"/>
        </w:rPr>
        <w:t xml:space="preserve">без урахування результатів </w:t>
      </w:r>
      <w:r w:rsidR="00321053" w:rsidRPr="00020763">
        <w:t>перевірки</w:t>
      </w:r>
      <w:r w:rsidR="007222EE" w:rsidRPr="00020763">
        <w:t xml:space="preserve"> оцінки вартості майна)</w:t>
      </w:r>
      <w:r w:rsidR="00B93BA5" w:rsidRPr="00020763">
        <w:t>.</w:t>
      </w:r>
    </w:p>
    <w:p w:rsidR="008172EB" w:rsidRPr="00020763" w:rsidRDefault="00B93BA5" w:rsidP="00020763">
      <w:pPr>
        <w:ind w:firstLine="567"/>
      </w:pPr>
      <w:r w:rsidRPr="00020763">
        <w:rPr>
          <w:lang w:eastAsia="ru-RU"/>
        </w:rPr>
        <w:t>Національний банк здійснює о</w:t>
      </w:r>
      <w:r w:rsidRPr="00020763">
        <w:t xml:space="preserve">цінку якості активів </w:t>
      </w:r>
      <w:r w:rsidRPr="00020763">
        <w:rPr>
          <w:lang w:eastAsia="ru-RU"/>
        </w:rPr>
        <w:t>та прийнятності забезпечення за кредитними операціями</w:t>
      </w:r>
      <w:r w:rsidRPr="00020763">
        <w:t xml:space="preserve"> </w:t>
      </w:r>
      <w:r w:rsidRPr="00020763">
        <w:rPr>
          <w:lang w:eastAsia="ru-RU"/>
        </w:rPr>
        <w:t xml:space="preserve">згідно з вимогами </w:t>
      </w:r>
      <w:r w:rsidRPr="00020763">
        <w:rPr>
          <w:bCs/>
          <w:shd w:val="clear" w:color="auto" w:fill="FFFFFF" w:themeFill="background1"/>
        </w:rPr>
        <w:t xml:space="preserve">Положення </w:t>
      </w:r>
      <w:r w:rsidRPr="00020763">
        <w:rPr>
          <w:bCs/>
          <w:shd w:val="clear" w:color="auto" w:fill="FFFFFF" w:themeFill="background1"/>
          <w:lang w:eastAsia="ru-RU"/>
        </w:rPr>
        <w:t>№ 351</w:t>
      </w:r>
      <w:r w:rsidRPr="00020763">
        <w:rPr>
          <w:shd w:val="clear" w:color="auto" w:fill="FFFFFF" w:themeFill="background1"/>
          <w:lang w:eastAsia="ru-RU"/>
        </w:rPr>
        <w:t xml:space="preserve"> з урахуванням </w:t>
      </w:r>
      <w:r w:rsidRPr="00020763">
        <w:rPr>
          <w:bCs/>
        </w:rPr>
        <w:t>Правил №</w:t>
      </w:r>
      <w:r w:rsidRPr="00020763">
        <w:rPr>
          <w:lang w:eastAsia="ru-RU"/>
        </w:rPr>
        <w:t> </w:t>
      </w:r>
      <w:r w:rsidRPr="00020763">
        <w:rPr>
          <w:bCs/>
        </w:rPr>
        <w:t xml:space="preserve">23 і </w:t>
      </w:r>
      <w:r w:rsidRPr="00020763">
        <w:rPr>
          <w:lang w:eastAsia="ru-RU"/>
        </w:rPr>
        <w:t>Технічного завдання</w:t>
      </w:r>
      <w:r w:rsidR="0040326F" w:rsidRPr="00020763">
        <w:rPr>
          <w:lang w:eastAsia="ru-RU"/>
        </w:rPr>
        <w:t>;</w:t>
      </w:r>
    </w:p>
    <w:bookmarkEnd w:id="1"/>
    <w:p w:rsidR="000A6816" w:rsidRPr="00020763" w:rsidRDefault="000A6816" w:rsidP="00020763">
      <w:pPr>
        <w:ind w:firstLine="567"/>
        <w:rPr>
          <w:shd w:val="clear" w:color="auto" w:fill="FFFFFF"/>
        </w:rPr>
      </w:pPr>
    </w:p>
    <w:p w:rsidR="00FB3AAF" w:rsidRPr="00020763" w:rsidRDefault="00B02C71" w:rsidP="00020763">
      <w:pPr>
        <w:pStyle w:val="ParagraphNumbering"/>
        <w:spacing w:after="0"/>
        <w:ind w:firstLine="567"/>
        <w:jc w:val="both"/>
        <w:rPr>
          <w:bCs/>
          <w:sz w:val="28"/>
          <w:szCs w:val="28"/>
          <w:lang w:val="uk-UA"/>
        </w:rPr>
      </w:pPr>
      <w:r w:rsidRPr="00020763">
        <w:rPr>
          <w:sz w:val="28"/>
          <w:szCs w:val="28"/>
          <w:lang w:val="uk-UA"/>
        </w:rPr>
        <w:t xml:space="preserve">2) </w:t>
      </w:r>
      <w:r w:rsidR="008B5393" w:rsidRPr="00020763">
        <w:rPr>
          <w:sz w:val="28"/>
          <w:szCs w:val="28"/>
          <w:lang w:val="uk-UA"/>
        </w:rPr>
        <w:t>д</w:t>
      </w:r>
      <w:r w:rsidR="002E46F3" w:rsidRPr="00020763">
        <w:rPr>
          <w:bCs/>
          <w:sz w:val="28"/>
          <w:szCs w:val="28"/>
          <w:lang w:val="uk-UA" w:eastAsia="ru-RU"/>
        </w:rPr>
        <w:t>руг</w:t>
      </w:r>
      <w:r w:rsidR="008B5393" w:rsidRPr="00020763">
        <w:rPr>
          <w:bCs/>
          <w:sz w:val="28"/>
          <w:szCs w:val="28"/>
          <w:lang w:val="uk-UA" w:eastAsia="ru-RU"/>
        </w:rPr>
        <w:t>ий етап включає</w:t>
      </w:r>
      <w:r w:rsidR="00FB3AAF" w:rsidRPr="00020763">
        <w:rPr>
          <w:bCs/>
          <w:sz w:val="28"/>
          <w:szCs w:val="28"/>
          <w:lang w:val="uk-UA"/>
        </w:rPr>
        <w:t>:</w:t>
      </w:r>
    </w:p>
    <w:p w:rsidR="00B02C71" w:rsidRPr="00020763" w:rsidRDefault="00B02C71" w:rsidP="00020763">
      <w:pPr>
        <w:pStyle w:val="ParagraphNumbering"/>
        <w:spacing w:after="0"/>
        <w:ind w:firstLine="567"/>
        <w:jc w:val="both"/>
        <w:rPr>
          <w:sz w:val="28"/>
          <w:szCs w:val="28"/>
          <w:lang w:val="uk-UA"/>
        </w:rPr>
      </w:pPr>
      <w:r w:rsidRPr="00020763">
        <w:rPr>
          <w:sz w:val="28"/>
          <w:szCs w:val="28"/>
          <w:lang w:val="uk-UA"/>
        </w:rPr>
        <w:t>екстраполяці</w:t>
      </w:r>
      <w:r w:rsidR="008B5393" w:rsidRPr="00020763">
        <w:rPr>
          <w:bCs/>
          <w:sz w:val="28"/>
          <w:szCs w:val="28"/>
          <w:lang w:val="uk-UA"/>
        </w:rPr>
        <w:t>ю</w:t>
      </w:r>
      <w:r w:rsidRPr="00020763">
        <w:rPr>
          <w:sz w:val="28"/>
          <w:szCs w:val="28"/>
          <w:lang w:val="uk-UA"/>
        </w:rPr>
        <w:t xml:space="preserve"> результатів оцінки якості </w:t>
      </w:r>
      <w:r w:rsidR="003F4FF4" w:rsidRPr="00020763">
        <w:rPr>
          <w:sz w:val="28"/>
          <w:szCs w:val="28"/>
          <w:lang w:val="uk-UA"/>
        </w:rPr>
        <w:t>кредитів</w:t>
      </w:r>
      <w:r w:rsidR="0057471B" w:rsidRPr="00020763">
        <w:rPr>
          <w:sz w:val="28"/>
          <w:szCs w:val="28"/>
          <w:lang w:val="uk-UA"/>
        </w:rPr>
        <w:t xml:space="preserve"> </w:t>
      </w:r>
      <w:r w:rsidR="0057471B" w:rsidRPr="00020763">
        <w:rPr>
          <w:sz w:val="28"/>
          <w:szCs w:val="28"/>
          <w:lang w:val="uk-UA" w:eastAsia="ru-RU"/>
        </w:rPr>
        <w:t>та прийнятності забезпечення за кредитними операціями</w:t>
      </w:r>
      <w:r w:rsidR="0047067B" w:rsidRPr="00020763">
        <w:rPr>
          <w:sz w:val="28"/>
          <w:szCs w:val="28"/>
          <w:lang w:val="uk-UA"/>
        </w:rPr>
        <w:t xml:space="preserve"> </w:t>
      </w:r>
      <w:r w:rsidR="005E483B" w:rsidRPr="00020763">
        <w:rPr>
          <w:sz w:val="28"/>
          <w:szCs w:val="28"/>
          <w:lang w:val="uk-UA"/>
        </w:rPr>
        <w:t>на інші кредитні операції банку</w:t>
      </w:r>
      <w:r w:rsidR="00344499" w:rsidRPr="00020763">
        <w:rPr>
          <w:sz w:val="28"/>
          <w:szCs w:val="28"/>
          <w:lang w:val="uk-UA"/>
        </w:rPr>
        <w:t xml:space="preserve"> </w:t>
      </w:r>
      <w:r w:rsidR="00187448" w:rsidRPr="00020763">
        <w:rPr>
          <w:sz w:val="28"/>
          <w:szCs w:val="28"/>
          <w:lang w:val="uk-UA"/>
        </w:rPr>
        <w:t xml:space="preserve">(за потреби) </w:t>
      </w:r>
      <w:r w:rsidR="00344499" w:rsidRPr="00020763">
        <w:rPr>
          <w:sz w:val="28"/>
          <w:szCs w:val="28"/>
          <w:lang w:val="uk-UA"/>
        </w:rPr>
        <w:t>(без</w:t>
      </w:r>
      <w:r w:rsidR="00C95F62" w:rsidRPr="00020763">
        <w:rPr>
          <w:bCs/>
          <w:sz w:val="28"/>
          <w:szCs w:val="28"/>
          <w:shd w:val="clear" w:color="auto" w:fill="FFFFFF" w:themeFill="background1"/>
          <w:lang w:val="uk-UA" w:eastAsia="ru-RU"/>
        </w:rPr>
        <w:t> </w:t>
      </w:r>
      <w:r w:rsidR="00344499" w:rsidRPr="00020763">
        <w:rPr>
          <w:sz w:val="28"/>
          <w:szCs w:val="28"/>
          <w:lang w:val="uk-UA"/>
        </w:rPr>
        <w:t xml:space="preserve"> урахування наявних результатів перевірки оцінки вартості майна)</w:t>
      </w:r>
      <w:r w:rsidR="005E483B" w:rsidRPr="00020763">
        <w:rPr>
          <w:sz w:val="28"/>
          <w:szCs w:val="28"/>
          <w:lang w:val="uk-UA"/>
        </w:rPr>
        <w:t xml:space="preserve"> </w:t>
      </w:r>
      <w:r w:rsidR="0009252C" w:rsidRPr="00020763">
        <w:rPr>
          <w:sz w:val="28"/>
          <w:szCs w:val="28"/>
          <w:lang w:val="uk-UA"/>
        </w:rPr>
        <w:t xml:space="preserve">у </w:t>
      </w:r>
      <w:r w:rsidR="005E483B" w:rsidRPr="00020763">
        <w:rPr>
          <w:sz w:val="28"/>
          <w:szCs w:val="28"/>
          <w:lang w:val="uk-UA"/>
        </w:rPr>
        <w:t>порядку, визначеному в Технічному завданні</w:t>
      </w:r>
      <w:r w:rsidR="00880ACB" w:rsidRPr="00020763">
        <w:rPr>
          <w:sz w:val="28"/>
          <w:szCs w:val="28"/>
          <w:lang w:val="uk-UA"/>
        </w:rPr>
        <w:t xml:space="preserve"> </w:t>
      </w:r>
      <w:r w:rsidR="00DA10C7" w:rsidRPr="00020763">
        <w:rPr>
          <w:sz w:val="28"/>
          <w:szCs w:val="28"/>
          <w:lang w:val="uk-UA"/>
        </w:rPr>
        <w:t>(далі – екстраполяція)</w:t>
      </w:r>
      <w:r w:rsidRPr="00020763">
        <w:rPr>
          <w:sz w:val="28"/>
          <w:szCs w:val="28"/>
          <w:lang w:val="uk-UA"/>
        </w:rPr>
        <w:t>;</w:t>
      </w:r>
      <w:r w:rsidR="00A1051E" w:rsidRPr="00020763">
        <w:rPr>
          <w:sz w:val="28"/>
          <w:szCs w:val="28"/>
          <w:lang w:val="uk-UA"/>
        </w:rPr>
        <w:t xml:space="preserve"> </w:t>
      </w:r>
    </w:p>
    <w:p w:rsidR="002E46F3" w:rsidRPr="00020763" w:rsidRDefault="00A6398B" w:rsidP="00020763">
      <w:pPr>
        <w:pStyle w:val="ParagraphNumbering"/>
        <w:spacing w:after="0"/>
        <w:ind w:firstLine="567"/>
        <w:jc w:val="both"/>
        <w:rPr>
          <w:iCs/>
          <w:sz w:val="28"/>
          <w:szCs w:val="28"/>
          <w:lang w:val="uk-UA"/>
        </w:rPr>
      </w:pPr>
      <w:r w:rsidRPr="00020763">
        <w:rPr>
          <w:sz w:val="28"/>
          <w:szCs w:val="28"/>
          <w:lang w:val="uk-UA"/>
        </w:rPr>
        <w:t>перевірку оцінки вартості майна (здійснення заходу/заходів, зазначених у підпунк</w:t>
      </w:r>
      <w:r w:rsidR="00AF3588" w:rsidRPr="00020763">
        <w:rPr>
          <w:sz w:val="28"/>
          <w:szCs w:val="28"/>
          <w:lang w:val="uk-UA"/>
        </w:rPr>
        <w:t>тах 1</w:t>
      </w:r>
      <w:r w:rsidR="00B21F66">
        <w:rPr>
          <w:sz w:val="28"/>
          <w:szCs w:val="28"/>
          <w:lang w:val="uk-UA"/>
        </w:rPr>
        <w:t>−</w:t>
      </w:r>
      <w:r w:rsidR="00AF3588" w:rsidRPr="00020763">
        <w:rPr>
          <w:sz w:val="28"/>
          <w:szCs w:val="28"/>
          <w:lang w:val="uk-UA"/>
        </w:rPr>
        <w:t>4</w:t>
      </w:r>
      <w:r w:rsidRPr="00020763">
        <w:rPr>
          <w:sz w:val="28"/>
          <w:szCs w:val="28"/>
          <w:lang w:val="uk-UA"/>
        </w:rPr>
        <w:t xml:space="preserve"> пункту </w:t>
      </w:r>
      <w:r w:rsidR="004455F4" w:rsidRPr="00020763">
        <w:rPr>
          <w:sz w:val="28"/>
          <w:szCs w:val="28"/>
          <w:lang w:val="uk-UA"/>
        </w:rPr>
        <w:t>14</w:t>
      </w:r>
      <w:r w:rsidRPr="00020763">
        <w:rPr>
          <w:sz w:val="28"/>
          <w:szCs w:val="28"/>
          <w:lang w:val="uk-UA"/>
        </w:rPr>
        <w:t xml:space="preserve"> розділу ІІ</w:t>
      </w:r>
      <w:r w:rsidR="004455F4" w:rsidRPr="00020763">
        <w:rPr>
          <w:sz w:val="28"/>
          <w:szCs w:val="28"/>
        </w:rPr>
        <w:t>I</w:t>
      </w:r>
      <w:r w:rsidRPr="00020763">
        <w:rPr>
          <w:sz w:val="28"/>
          <w:szCs w:val="28"/>
          <w:lang w:val="uk-UA"/>
        </w:rPr>
        <w:t xml:space="preserve"> цих Правил, які не були здійснені під час першого етапу)</w:t>
      </w:r>
      <w:r w:rsidR="002E46F3" w:rsidRPr="00020763">
        <w:rPr>
          <w:sz w:val="28"/>
          <w:szCs w:val="28"/>
          <w:lang w:val="uk-UA"/>
        </w:rPr>
        <w:t>;</w:t>
      </w:r>
    </w:p>
    <w:p w:rsidR="00B02C71" w:rsidRPr="00020763" w:rsidRDefault="00B02C71" w:rsidP="00020763">
      <w:pPr>
        <w:pStyle w:val="ParagraphNumbering"/>
        <w:spacing w:after="0"/>
        <w:ind w:firstLine="567"/>
        <w:jc w:val="both"/>
        <w:rPr>
          <w:strike/>
          <w:sz w:val="28"/>
          <w:szCs w:val="28"/>
          <w:lang w:val="uk-UA"/>
        </w:rPr>
      </w:pPr>
      <w:r w:rsidRPr="00020763">
        <w:rPr>
          <w:sz w:val="28"/>
          <w:szCs w:val="28"/>
          <w:lang w:val="uk-UA"/>
        </w:rPr>
        <w:t xml:space="preserve">розрахунок </w:t>
      </w:r>
      <w:r w:rsidR="00D001F1" w:rsidRPr="00020763">
        <w:rPr>
          <w:sz w:val="28"/>
          <w:szCs w:val="28"/>
          <w:lang w:val="uk-UA" w:eastAsia="ru-RU"/>
        </w:rPr>
        <w:t xml:space="preserve">розміру </w:t>
      </w:r>
      <w:r w:rsidR="001C34D9" w:rsidRPr="00020763">
        <w:rPr>
          <w:sz w:val="28"/>
          <w:szCs w:val="28"/>
          <w:lang w:val="uk-UA" w:eastAsia="ru-RU"/>
        </w:rPr>
        <w:t>регулятивного капіталу, основного капіталу,</w:t>
      </w:r>
      <w:r w:rsidR="00D001F1" w:rsidRPr="00020763">
        <w:rPr>
          <w:sz w:val="28"/>
          <w:szCs w:val="28"/>
          <w:lang w:val="uk-UA" w:eastAsia="ru-RU"/>
        </w:rPr>
        <w:t xml:space="preserve"> значень </w:t>
      </w:r>
      <w:r w:rsidRPr="00020763">
        <w:rPr>
          <w:sz w:val="28"/>
          <w:szCs w:val="28"/>
          <w:lang w:val="uk-UA"/>
        </w:rPr>
        <w:t>нормативів достатності капіталу</w:t>
      </w:r>
      <w:r w:rsidR="007222EE" w:rsidRPr="00020763">
        <w:rPr>
          <w:sz w:val="28"/>
          <w:szCs w:val="28"/>
          <w:lang w:val="uk-UA"/>
        </w:rPr>
        <w:t xml:space="preserve"> </w:t>
      </w:r>
      <w:r w:rsidR="007222EE" w:rsidRPr="00020763">
        <w:rPr>
          <w:sz w:val="28"/>
          <w:szCs w:val="28"/>
          <w:lang w:val="uk-UA" w:eastAsia="ru-RU"/>
        </w:rPr>
        <w:t xml:space="preserve">(з урахуванням </w:t>
      </w:r>
      <w:r w:rsidR="007222EE" w:rsidRPr="00020763">
        <w:rPr>
          <w:sz w:val="28"/>
          <w:szCs w:val="28"/>
          <w:lang w:val="uk-UA"/>
        </w:rPr>
        <w:t xml:space="preserve">екстраполяції та </w:t>
      </w:r>
      <w:r w:rsidR="00A6398B" w:rsidRPr="00020763">
        <w:rPr>
          <w:sz w:val="28"/>
          <w:szCs w:val="28"/>
          <w:lang w:val="uk-UA"/>
        </w:rPr>
        <w:t xml:space="preserve">наявних </w:t>
      </w:r>
      <w:r w:rsidR="007222EE" w:rsidRPr="00020763">
        <w:rPr>
          <w:sz w:val="28"/>
          <w:szCs w:val="28"/>
          <w:lang w:val="uk-UA"/>
        </w:rPr>
        <w:t>результатів перевірки оцінки вартості майна)</w:t>
      </w:r>
      <w:r w:rsidR="0036098D" w:rsidRPr="00020763">
        <w:rPr>
          <w:bCs/>
          <w:sz w:val="28"/>
          <w:szCs w:val="28"/>
          <w:lang w:val="uk-UA" w:eastAsia="ru-RU"/>
        </w:rPr>
        <w:t>;</w:t>
      </w:r>
      <w:r w:rsidR="00C3618D" w:rsidRPr="00020763">
        <w:rPr>
          <w:bCs/>
          <w:sz w:val="28"/>
          <w:szCs w:val="28"/>
          <w:lang w:val="uk-UA" w:eastAsia="ru-RU"/>
        </w:rPr>
        <w:t xml:space="preserve"> </w:t>
      </w:r>
    </w:p>
    <w:p w:rsidR="004C7302" w:rsidRPr="00020763" w:rsidRDefault="004C7302" w:rsidP="00020763">
      <w:pPr>
        <w:pStyle w:val="ParagraphNumbering"/>
        <w:spacing w:after="0"/>
        <w:ind w:firstLine="567"/>
        <w:jc w:val="both"/>
        <w:rPr>
          <w:sz w:val="28"/>
          <w:szCs w:val="28"/>
          <w:lang w:val="uk-UA"/>
        </w:rPr>
      </w:pPr>
    </w:p>
    <w:p w:rsidR="004C7302" w:rsidRPr="00020763" w:rsidRDefault="00B02C71" w:rsidP="00020763">
      <w:pPr>
        <w:ind w:firstLine="567"/>
        <w:rPr>
          <w:bCs/>
        </w:rPr>
      </w:pPr>
      <w:r w:rsidRPr="00020763">
        <w:rPr>
          <w:lang w:eastAsia="ru-RU"/>
        </w:rPr>
        <w:t xml:space="preserve">3) третій етап </w:t>
      </w:r>
      <w:r w:rsidRPr="00020763">
        <w:rPr>
          <w:bCs/>
        </w:rPr>
        <w:t>включає</w:t>
      </w:r>
      <w:r w:rsidR="004C7302" w:rsidRPr="00020763">
        <w:rPr>
          <w:bCs/>
        </w:rPr>
        <w:t>:</w:t>
      </w:r>
    </w:p>
    <w:p w:rsidR="004C7302" w:rsidRPr="00020763" w:rsidRDefault="00A6398B" w:rsidP="00020763">
      <w:pPr>
        <w:ind w:firstLine="567"/>
        <w:rPr>
          <w:lang w:eastAsia="ru-RU"/>
        </w:rPr>
      </w:pPr>
      <w:r w:rsidRPr="00020763">
        <w:rPr>
          <w:lang w:eastAsia="ru-RU"/>
        </w:rPr>
        <w:lastRenderedPageBreak/>
        <w:t>здійснення</w:t>
      </w:r>
      <w:r w:rsidR="00B02C71" w:rsidRPr="00020763">
        <w:rPr>
          <w:lang w:eastAsia="ru-RU"/>
        </w:rPr>
        <w:t xml:space="preserve"> стрес-тестування за базовим макроекономічним сценарієм</w:t>
      </w:r>
      <w:r w:rsidR="004C7302" w:rsidRPr="00020763">
        <w:rPr>
          <w:lang w:eastAsia="ru-RU"/>
        </w:rPr>
        <w:t>;</w:t>
      </w:r>
    </w:p>
    <w:p w:rsidR="00EE3564" w:rsidRPr="00020763" w:rsidRDefault="00EE3564" w:rsidP="00020763">
      <w:pPr>
        <w:pStyle w:val="ParagraphNumbering"/>
        <w:spacing w:after="0"/>
        <w:ind w:firstLine="567"/>
        <w:jc w:val="both"/>
        <w:rPr>
          <w:iCs/>
          <w:sz w:val="28"/>
          <w:szCs w:val="28"/>
          <w:lang w:val="uk-UA"/>
        </w:rPr>
      </w:pPr>
      <w:r w:rsidRPr="00020763">
        <w:rPr>
          <w:sz w:val="28"/>
          <w:szCs w:val="28"/>
          <w:lang w:val="uk-UA"/>
        </w:rPr>
        <w:t xml:space="preserve">перевірку оцінки вартості майна (здійснення заходу, зазначеного </w:t>
      </w:r>
      <w:r w:rsidR="0009252C" w:rsidRPr="00020763">
        <w:rPr>
          <w:sz w:val="28"/>
          <w:szCs w:val="28"/>
          <w:lang w:val="uk-UA"/>
        </w:rPr>
        <w:t xml:space="preserve">в </w:t>
      </w:r>
      <w:r w:rsidRPr="00020763">
        <w:rPr>
          <w:sz w:val="28"/>
          <w:szCs w:val="28"/>
          <w:lang w:val="uk-UA"/>
        </w:rPr>
        <w:t xml:space="preserve">підпункті </w:t>
      </w:r>
      <w:r w:rsidR="00AF3588" w:rsidRPr="00020763">
        <w:rPr>
          <w:sz w:val="28"/>
          <w:szCs w:val="28"/>
          <w:lang w:val="uk-UA"/>
        </w:rPr>
        <w:t>4</w:t>
      </w:r>
      <w:r w:rsidRPr="00020763">
        <w:rPr>
          <w:sz w:val="28"/>
          <w:szCs w:val="28"/>
          <w:lang w:val="uk-UA"/>
        </w:rPr>
        <w:t xml:space="preserve"> пункту </w:t>
      </w:r>
      <w:r w:rsidR="004455F4" w:rsidRPr="00020763">
        <w:rPr>
          <w:sz w:val="28"/>
          <w:szCs w:val="28"/>
          <w:lang w:val="ru-RU"/>
        </w:rPr>
        <w:t>14</w:t>
      </w:r>
      <w:r w:rsidRPr="00020763">
        <w:rPr>
          <w:sz w:val="28"/>
          <w:szCs w:val="28"/>
          <w:lang w:val="uk-UA"/>
        </w:rPr>
        <w:t xml:space="preserve"> розділу ІІ</w:t>
      </w:r>
      <w:r w:rsidR="004455F4" w:rsidRPr="00020763">
        <w:rPr>
          <w:sz w:val="28"/>
          <w:szCs w:val="28"/>
        </w:rPr>
        <w:t>I</w:t>
      </w:r>
      <w:r w:rsidRPr="00020763">
        <w:rPr>
          <w:sz w:val="28"/>
          <w:szCs w:val="28"/>
          <w:lang w:val="uk-UA"/>
        </w:rPr>
        <w:t xml:space="preserve"> цих Правил);</w:t>
      </w:r>
    </w:p>
    <w:p w:rsidR="004C7302" w:rsidRPr="00020763" w:rsidRDefault="00B02C71" w:rsidP="00020763">
      <w:pPr>
        <w:ind w:firstLine="567"/>
        <w:rPr>
          <w:lang w:eastAsia="ru-RU"/>
        </w:rPr>
      </w:pPr>
      <w:r w:rsidRPr="00020763">
        <w:rPr>
          <w:lang w:eastAsia="ru-RU"/>
        </w:rPr>
        <w:t>розрахунок</w:t>
      </w:r>
      <w:r w:rsidR="00D001F1" w:rsidRPr="00020763">
        <w:rPr>
          <w:lang w:eastAsia="ru-RU"/>
        </w:rPr>
        <w:t xml:space="preserve"> розміру </w:t>
      </w:r>
      <w:r w:rsidR="001C34D9" w:rsidRPr="00020763">
        <w:rPr>
          <w:lang w:eastAsia="ru-RU"/>
        </w:rPr>
        <w:t>регулятивного капіталу, основного капіталу,</w:t>
      </w:r>
      <w:r w:rsidR="00D001F1" w:rsidRPr="00020763">
        <w:rPr>
          <w:lang w:eastAsia="ru-RU"/>
        </w:rPr>
        <w:t xml:space="preserve"> значень</w:t>
      </w:r>
      <w:r w:rsidRPr="00020763">
        <w:rPr>
          <w:lang w:eastAsia="ru-RU"/>
        </w:rPr>
        <w:t xml:space="preserve"> нормативів достатності капіталу</w:t>
      </w:r>
      <w:r w:rsidR="00D95133" w:rsidRPr="00020763">
        <w:rPr>
          <w:lang w:eastAsia="ru-RU"/>
        </w:rPr>
        <w:t xml:space="preserve"> (з урахуванням </w:t>
      </w:r>
      <w:r w:rsidR="00570405" w:rsidRPr="00020763">
        <w:rPr>
          <w:lang w:eastAsia="ru-RU"/>
        </w:rPr>
        <w:t xml:space="preserve">екстраполяції, </w:t>
      </w:r>
      <w:r w:rsidR="009E3789" w:rsidRPr="00020763">
        <w:rPr>
          <w:lang w:eastAsia="ru-RU"/>
        </w:rPr>
        <w:t xml:space="preserve">наявних </w:t>
      </w:r>
      <w:r w:rsidR="00D95133" w:rsidRPr="00020763">
        <w:rPr>
          <w:lang w:eastAsia="ru-RU"/>
        </w:rPr>
        <w:t xml:space="preserve">результатів </w:t>
      </w:r>
      <w:r w:rsidR="00D95133" w:rsidRPr="00020763">
        <w:t>перевірки оцінки вартості майна</w:t>
      </w:r>
      <w:r w:rsidR="005B39B9" w:rsidRPr="00020763">
        <w:t xml:space="preserve">, </w:t>
      </w:r>
      <w:r w:rsidR="00570405" w:rsidRPr="00020763">
        <w:rPr>
          <w:lang w:eastAsia="ru-RU"/>
        </w:rPr>
        <w:t>стрес-тестування</w:t>
      </w:r>
      <w:r w:rsidR="00D95133" w:rsidRPr="00020763">
        <w:t>)</w:t>
      </w:r>
      <w:r w:rsidR="004C7302" w:rsidRPr="00020763">
        <w:rPr>
          <w:lang w:eastAsia="ru-RU"/>
        </w:rPr>
        <w:t>;</w:t>
      </w:r>
      <w:r w:rsidR="00570405" w:rsidRPr="00020763">
        <w:rPr>
          <w:lang w:eastAsia="ru-RU"/>
        </w:rPr>
        <w:t xml:space="preserve"> </w:t>
      </w:r>
    </w:p>
    <w:p w:rsidR="00B02C71" w:rsidRPr="00020763" w:rsidRDefault="00A6398B" w:rsidP="00020763">
      <w:pPr>
        <w:ind w:firstLine="567"/>
        <w:rPr>
          <w:lang w:eastAsia="ru-RU"/>
        </w:rPr>
      </w:pPr>
      <w:r w:rsidRPr="00020763">
        <w:rPr>
          <w:lang w:eastAsia="ru-RU"/>
        </w:rPr>
        <w:t>визначення</w:t>
      </w:r>
      <w:r w:rsidR="00B02C71" w:rsidRPr="00020763">
        <w:rPr>
          <w:lang w:eastAsia="ru-RU"/>
        </w:rPr>
        <w:t xml:space="preserve"> згідно з</w:t>
      </w:r>
      <w:r w:rsidR="001C4EC7" w:rsidRPr="00020763">
        <w:rPr>
          <w:lang w:eastAsia="ru-RU"/>
        </w:rPr>
        <w:t xml:space="preserve"> Технічним завданням необхідних рівнів</w:t>
      </w:r>
      <w:r w:rsidR="00B02C71" w:rsidRPr="00020763">
        <w:rPr>
          <w:lang w:eastAsia="ru-RU"/>
        </w:rPr>
        <w:t xml:space="preserve"> нормат</w:t>
      </w:r>
      <w:r w:rsidR="00BA75AD" w:rsidRPr="00020763">
        <w:rPr>
          <w:lang w:eastAsia="ru-RU"/>
        </w:rPr>
        <w:t>ивів достатності капіталу банку</w:t>
      </w:r>
      <w:r w:rsidR="009E3789" w:rsidRPr="00020763">
        <w:rPr>
          <w:lang w:eastAsia="ru-RU"/>
        </w:rPr>
        <w:t>.</w:t>
      </w:r>
    </w:p>
    <w:p w:rsidR="0067744A" w:rsidRPr="00020763" w:rsidRDefault="0067744A" w:rsidP="00020763">
      <w:pPr>
        <w:ind w:firstLine="567"/>
        <w:rPr>
          <w:lang w:eastAsia="ru-RU"/>
        </w:rPr>
      </w:pPr>
    </w:p>
    <w:p w:rsidR="00632E34" w:rsidRPr="00020763" w:rsidRDefault="004455F4" w:rsidP="00020763">
      <w:pPr>
        <w:pStyle w:val="ParagraphNumbering"/>
        <w:tabs>
          <w:tab w:val="left" w:pos="851"/>
        </w:tabs>
        <w:spacing w:after="0"/>
        <w:ind w:firstLine="567"/>
        <w:jc w:val="both"/>
        <w:rPr>
          <w:sz w:val="28"/>
          <w:szCs w:val="28"/>
          <w:lang w:val="uk-UA"/>
        </w:rPr>
      </w:pPr>
      <w:r w:rsidRPr="00020763">
        <w:rPr>
          <w:sz w:val="28"/>
          <w:szCs w:val="28"/>
          <w:lang w:val="ru-RU" w:eastAsia="ru-RU"/>
        </w:rPr>
        <w:t>11</w:t>
      </w:r>
      <w:r w:rsidR="00632E34" w:rsidRPr="00020763">
        <w:rPr>
          <w:sz w:val="28"/>
          <w:szCs w:val="28"/>
          <w:lang w:val="uk-UA" w:eastAsia="ru-RU"/>
        </w:rPr>
        <w:t xml:space="preserve">. </w:t>
      </w:r>
      <w:r w:rsidR="00D80053" w:rsidRPr="00020763">
        <w:rPr>
          <w:sz w:val="28"/>
          <w:szCs w:val="28"/>
          <w:lang w:val="uk-UA"/>
        </w:rPr>
        <w:t>Національний банк здійснює п</w:t>
      </w:r>
      <w:r w:rsidR="00632E34" w:rsidRPr="00020763">
        <w:rPr>
          <w:sz w:val="28"/>
          <w:szCs w:val="28"/>
          <w:lang w:val="uk-UA"/>
        </w:rPr>
        <w:t xml:space="preserve">ерший, другий та третій етапи оцінки стійкості. </w:t>
      </w:r>
    </w:p>
    <w:p w:rsidR="00F07A22" w:rsidRPr="00020763" w:rsidRDefault="00632E34" w:rsidP="00020763">
      <w:pPr>
        <w:pStyle w:val="ParagraphNumbering"/>
        <w:tabs>
          <w:tab w:val="left" w:pos="851"/>
        </w:tabs>
        <w:spacing w:after="0"/>
        <w:ind w:firstLine="567"/>
        <w:jc w:val="both"/>
        <w:rPr>
          <w:sz w:val="28"/>
          <w:szCs w:val="28"/>
          <w:lang w:val="uk-UA" w:eastAsia="ru-RU"/>
        </w:rPr>
      </w:pPr>
      <w:r w:rsidRPr="00020763">
        <w:rPr>
          <w:sz w:val="28"/>
          <w:szCs w:val="28"/>
          <w:lang w:val="uk-UA"/>
        </w:rPr>
        <w:t xml:space="preserve">Перший етап оцінки стійкості банків здійснюється шляхом проведення </w:t>
      </w:r>
      <w:r w:rsidR="002D4C2E" w:rsidRPr="00020763">
        <w:rPr>
          <w:sz w:val="28"/>
          <w:szCs w:val="28"/>
          <w:lang w:val="uk-UA"/>
        </w:rPr>
        <w:t xml:space="preserve">позапланової </w:t>
      </w:r>
      <w:r w:rsidRPr="00020763">
        <w:rPr>
          <w:sz w:val="28"/>
          <w:szCs w:val="28"/>
          <w:lang w:val="uk-UA"/>
        </w:rPr>
        <w:t xml:space="preserve">інспекційної перевірки </w:t>
      </w:r>
      <w:r w:rsidRPr="00020763">
        <w:rPr>
          <w:bCs/>
          <w:sz w:val="28"/>
          <w:szCs w:val="28"/>
          <w:lang w:val="uk-UA"/>
        </w:rPr>
        <w:t>згідно з Положенням №</w:t>
      </w:r>
      <w:r w:rsidRPr="00020763">
        <w:rPr>
          <w:sz w:val="28"/>
          <w:szCs w:val="28"/>
          <w:lang w:val="uk-UA" w:eastAsia="ru-RU"/>
        </w:rPr>
        <w:t> </w:t>
      </w:r>
      <w:r w:rsidRPr="00020763">
        <w:rPr>
          <w:bCs/>
          <w:sz w:val="28"/>
          <w:szCs w:val="28"/>
          <w:lang w:val="uk-UA"/>
        </w:rPr>
        <w:t>276</w:t>
      </w:r>
      <w:r w:rsidRPr="00020763">
        <w:rPr>
          <w:sz w:val="28"/>
          <w:szCs w:val="28"/>
          <w:lang w:val="uk-UA"/>
        </w:rPr>
        <w:t xml:space="preserve"> з урахуванням особливостей, визначених цими Правилами</w:t>
      </w:r>
      <w:r w:rsidR="003662EF" w:rsidRPr="00020763">
        <w:rPr>
          <w:sz w:val="28"/>
          <w:szCs w:val="28"/>
          <w:lang w:val="uk-UA"/>
        </w:rPr>
        <w:t xml:space="preserve"> та Технічним завданням</w:t>
      </w:r>
      <w:r w:rsidRPr="00020763">
        <w:rPr>
          <w:sz w:val="28"/>
          <w:szCs w:val="28"/>
          <w:lang w:val="uk-UA" w:eastAsia="ru-RU"/>
        </w:rPr>
        <w:t>.</w:t>
      </w:r>
    </w:p>
    <w:p w:rsidR="00632E34" w:rsidRPr="00020763" w:rsidRDefault="00632E34" w:rsidP="00020763">
      <w:pPr>
        <w:pStyle w:val="ParagraphNumbering"/>
        <w:tabs>
          <w:tab w:val="left" w:pos="567"/>
          <w:tab w:val="left" w:pos="993"/>
        </w:tabs>
        <w:spacing w:after="0"/>
        <w:ind w:firstLine="567"/>
        <w:jc w:val="both"/>
        <w:rPr>
          <w:sz w:val="28"/>
          <w:szCs w:val="28"/>
          <w:lang w:val="uk-UA" w:eastAsia="ru-RU"/>
        </w:rPr>
      </w:pPr>
      <w:r w:rsidRPr="00020763">
        <w:rPr>
          <w:sz w:val="28"/>
          <w:szCs w:val="28"/>
          <w:lang w:val="uk-UA" w:eastAsia="ru-RU"/>
        </w:rPr>
        <w:t xml:space="preserve">Національний банк повідомляє банк про проведення позапланової інспекційної перевірки не пізніше ніж за п’ять днів до її початку. Національний банк </w:t>
      </w:r>
      <w:r w:rsidR="00D80053" w:rsidRPr="00020763">
        <w:rPr>
          <w:sz w:val="28"/>
          <w:szCs w:val="28"/>
          <w:lang w:val="uk-UA" w:eastAsia="ru-RU"/>
        </w:rPr>
        <w:t xml:space="preserve">одночасно з повідомленням </w:t>
      </w:r>
      <w:r w:rsidRPr="00020763">
        <w:rPr>
          <w:sz w:val="28"/>
          <w:szCs w:val="28"/>
          <w:lang w:val="uk-UA" w:eastAsia="ru-RU"/>
        </w:rPr>
        <w:t xml:space="preserve">надсилає банку запит на отримання документів, інформації із зазначенням термінів, форми, структури та вигляду їх надання (паперова, електронна форми, копії/скановані копії, витяги з них). </w:t>
      </w:r>
    </w:p>
    <w:p w:rsidR="00F07A22" w:rsidRPr="00020763" w:rsidRDefault="00F07A22" w:rsidP="00020763">
      <w:pPr>
        <w:pStyle w:val="ParagraphNumbering"/>
        <w:tabs>
          <w:tab w:val="left" w:pos="567"/>
          <w:tab w:val="left" w:pos="993"/>
        </w:tabs>
        <w:spacing w:after="0"/>
        <w:ind w:firstLine="567"/>
        <w:jc w:val="both"/>
        <w:rPr>
          <w:sz w:val="28"/>
          <w:szCs w:val="28"/>
          <w:lang w:val="uk-UA"/>
        </w:rPr>
      </w:pPr>
      <w:r w:rsidRPr="00020763">
        <w:rPr>
          <w:sz w:val="28"/>
          <w:szCs w:val="28"/>
          <w:lang w:val="uk-UA"/>
        </w:rPr>
        <w:t xml:space="preserve">За результатами першого етапу оцінки стійкості складається звіт про інспекційну перевірку банку за форматом, </w:t>
      </w:r>
      <w:r w:rsidR="00D80053" w:rsidRPr="00020763">
        <w:rPr>
          <w:sz w:val="28"/>
          <w:szCs w:val="28"/>
          <w:lang w:val="uk-UA"/>
        </w:rPr>
        <w:t xml:space="preserve">установленим </w:t>
      </w:r>
      <w:r w:rsidRPr="00020763">
        <w:rPr>
          <w:sz w:val="28"/>
          <w:szCs w:val="28"/>
          <w:lang w:val="uk-UA"/>
        </w:rPr>
        <w:t>Технічним завданням (далі – Звіт про результати першого етапу оцінки стійкості банку).</w:t>
      </w:r>
    </w:p>
    <w:p w:rsidR="00BA75AD" w:rsidRPr="00020763" w:rsidRDefault="00BA75AD" w:rsidP="00020763">
      <w:pPr>
        <w:pStyle w:val="ParagraphNumbering"/>
        <w:tabs>
          <w:tab w:val="left" w:pos="567"/>
          <w:tab w:val="left" w:pos="993"/>
        </w:tabs>
        <w:spacing w:after="0"/>
        <w:ind w:firstLine="567"/>
        <w:jc w:val="both"/>
        <w:rPr>
          <w:sz w:val="28"/>
          <w:szCs w:val="28"/>
          <w:lang w:val="uk-UA"/>
        </w:rPr>
      </w:pPr>
    </w:p>
    <w:p w:rsidR="00D06C08" w:rsidRPr="00020763" w:rsidRDefault="004455F4" w:rsidP="00020763">
      <w:pPr>
        <w:tabs>
          <w:tab w:val="left" w:pos="360"/>
          <w:tab w:val="left" w:pos="851"/>
          <w:tab w:val="left" w:pos="993"/>
        </w:tabs>
        <w:ind w:firstLine="567"/>
        <w:rPr>
          <w:lang w:eastAsia="ru-RU"/>
        </w:rPr>
      </w:pPr>
      <w:r w:rsidRPr="00020763">
        <w:rPr>
          <w:lang w:val="ru-RU" w:eastAsia="ru-RU"/>
        </w:rPr>
        <w:t>12</w:t>
      </w:r>
      <w:r w:rsidR="00D06C08" w:rsidRPr="00020763">
        <w:rPr>
          <w:lang w:eastAsia="ru-RU"/>
        </w:rPr>
        <w:t xml:space="preserve">. Національний банк під час третього </w:t>
      </w:r>
      <w:r w:rsidR="00D06C08" w:rsidRPr="00020763">
        <w:t xml:space="preserve">етапу оцінки </w:t>
      </w:r>
      <w:r w:rsidR="00D06C08" w:rsidRPr="00020763">
        <w:rPr>
          <w:lang w:eastAsia="ru-RU"/>
        </w:rPr>
        <w:t>стійкості банку:</w:t>
      </w:r>
    </w:p>
    <w:p w:rsidR="00D06C08" w:rsidRPr="00020763" w:rsidRDefault="00D06C08" w:rsidP="00020763">
      <w:pPr>
        <w:tabs>
          <w:tab w:val="left" w:pos="360"/>
          <w:tab w:val="left" w:pos="851"/>
          <w:tab w:val="left" w:pos="993"/>
        </w:tabs>
        <w:ind w:firstLine="567"/>
        <w:rPr>
          <w:lang w:eastAsia="ru-RU"/>
        </w:rPr>
      </w:pPr>
    </w:p>
    <w:p w:rsidR="00D06C08" w:rsidRPr="00020763" w:rsidRDefault="00D06C08" w:rsidP="00020763">
      <w:pPr>
        <w:tabs>
          <w:tab w:val="left" w:pos="360"/>
          <w:tab w:val="left" w:pos="851"/>
          <w:tab w:val="left" w:pos="993"/>
        </w:tabs>
        <w:ind w:firstLine="567"/>
        <w:rPr>
          <w:lang w:eastAsia="ru-RU"/>
        </w:rPr>
      </w:pPr>
      <w:r w:rsidRPr="00020763">
        <w:t>1)</w:t>
      </w:r>
      <w:r w:rsidRPr="00020763">
        <w:rPr>
          <w:lang w:eastAsia="ru-RU"/>
        </w:rPr>
        <w:t xml:space="preserve"> проводить стрес-тестування банку за базовим макроекономічним сценарієм</w:t>
      </w:r>
      <w:r w:rsidR="00D95133" w:rsidRPr="00020763">
        <w:rPr>
          <w:lang w:eastAsia="ru-RU"/>
        </w:rPr>
        <w:t xml:space="preserve"> </w:t>
      </w:r>
      <w:r w:rsidR="00D95133" w:rsidRPr="00020763">
        <w:t>згідно з Технічним завданням</w:t>
      </w:r>
      <w:r w:rsidRPr="00020763">
        <w:rPr>
          <w:lang w:eastAsia="ru-RU"/>
        </w:rPr>
        <w:t>. Стрес-тестування банку здійснюється на підставі даних бухгалтерського обліку, фінансової (за наявності) та статистичної звітності банку та інших даних банку з урахуванням коригувань, здійснених за результатами першого та другого етапів</w:t>
      </w:r>
      <w:r w:rsidRPr="00020763">
        <w:t xml:space="preserve"> оцінки </w:t>
      </w:r>
      <w:r w:rsidRPr="00020763">
        <w:rPr>
          <w:lang w:eastAsia="ru-RU"/>
        </w:rPr>
        <w:t>стійкості банку, базового макроекономічн</w:t>
      </w:r>
      <w:r w:rsidRPr="00020763">
        <w:rPr>
          <w:bCs/>
          <w:lang w:eastAsia="ru-RU"/>
        </w:rPr>
        <w:t>ого</w:t>
      </w:r>
      <w:r w:rsidRPr="00020763">
        <w:rPr>
          <w:lang w:eastAsia="ru-RU"/>
        </w:rPr>
        <w:t xml:space="preserve"> сценарі</w:t>
      </w:r>
      <w:r w:rsidRPr="00020763">
        <w:rPr>
          <w:bCs/>
          <w:lang w:eastAsia="ru-RU"/>
        </w:rPr>
        <w:t>ю</w:t>
      </w:r>
      <w:r w:rsidRPr="00020763">
        <w:rPr>
          <w:lang w:eastAsia="ru-RU"/>
        </w:rPr>
        <w:t xml:space="preserve"> Національного банку з використанням розробленої Національним банком моделі;</w:t>
      </w:r>
    </w:p>
    <w:p w:rsidR="00D06C08" w:rsidRPr="00020763" w:rsidRDefault="00D06C08" w:rsidP="00020763">
      <w:pPr>
        <w:tabs>
          <w:tab w:val="left" w:pos="360"/>
          <w:tab w:val="left" w:pos="851"/>
          <w:tab w:val="left" w:pos="993"/>
        </w:tabs>
        <w:ind w:firstLine="567"/>
        <w:rPr>
          <w:lang w:eastAsia="ru-RU"/>
        </w:rPr>
      </w:pPr>
    </w:p>
    <w:p w:rsidR="00D06C08" w:rsidRPr="00020763" w:rsidRDefault="00D06C08" w:rsidP="00020763">
      <w:pPr>
        <w:ind w:firstLine="567"/>
        <w:rPr>
          <w:lang w:eastAsia="ru-RU"/>
        </w:rPr>
      </w:pPr>
      <w:r w:rsidRPr="00020763">
        <w:t xml:space="preserve">2) визначає прогнозні показники фінансової звітності банку </w:t>
      </w:r>
      <w:r w:rsidRPr="00020763">
        <w:rPr>
          <w:lang w:eastAsia="ru-RU"/>
        </w:rPr>
        <w:t>[</w:t>
      </w:r>
      <w:r w:rsidRPr="00020763">
        <w:t>Звіту про фінансовий стан (Баланс) та Звіту про прибутки і збитки та інший сукупний дохід (Звіт про фінансові результати)</w:t>
      </w:r>
      <w:r w:rsidRPr="00020763">
        <w:rPr>
          <w:lang w:eastAsia="ru-RU"/>
        </w:rPr>
        <w:t>]</w:t>
      </w:r>
      <w:r w:rsidRPr="00020763">
        <w:t xml:space="preserve"> протягом прогнозного періоду </w:t>
      </w:r>
      <w:r w:rsidRPr="00020763">
        <w:rPr>
          <w:lang w:eastAsia="ru-RU"/>
        </w:rPr>
        <w:t>за базовим макроекономічним сценарієм, ґрунтуючись на припущенні про статичний баланс банку;</w:t>
      </w:r>
    </w:p>
    <w:p w:rsidR="00D06C08" w:rsidRPr="00020763" w:rsidRDefault="00D06C08" w:rsidP="00020763">
      <w:pPr>
        <w:ind w:firstLine="567"/>
        <w:rPr>
          <w:lang w:eastAsia="ru-RU"/>
        </w:rPr>
      </w:pPr>
    </w:p>
    <w:p w:rsidR="00D06C08" w:rsidRPr="00020763" w:rsidRDefault="00D06C08" w:rsidP="00020763">
      <w:pPr>
        <w:tabs>
          <w:tab w:val="left" w:pos="360"/>
          <w:tab w:val="left" w:pos="851"/>
        </w:tabs>
        <w:ind w:firstLine="567"/>
        <w:rPr>
          <w:lang w:eastAsia="ru-RU"/>
        </w:rPr>
      </w:pPr>
      <w:r w:rsidRPr="00020763">
        <w:rPr>
          <w:lang w:eastAsia="ru-RU"/>
        </w:rPr>
        <w:t>3) визначає прогнозний рівень кредитного ризику за активними банківськими операціями та прогнозну величину непокритого кредитного ризику;</w:t>
      </w:r>
    </w:p>
    <w:p w:rsidR="00D06C08" w:rsidRPr="00020763" w:rsidRDefault="00D06C08" w:rsidP="00020763">
      <w:pPr>
        <w:tabs>
          <w:tab w:val="left" w:pos="360"/>
          <w:tab w:val="left" w:pos="851"/>
        </w:tabs>
        <w:ind w:firstLine="567"/>
        <w:rPr>
          <w:lang w:eastAsia="ru-RU"/>
        </w:rPr>
      </w:pPr>
    </w:p>
    <w:p w:rsidR="00D06C08" w:rsidRPr="00020763" w:rsidRDefault="00D06C08" w:rsidP="00020763">
      <w:pPr>
        <w:tabs>
          <w:tab w:val="left" w:pos="851"/>
          <w:tab w:val="left" w:pos="993"/>
        </w:tabs>
        <w:ind w:firstLine="567"/>
        <w:rPr>
          <w:lang w:eastAsia="ru-RU"/>
        </w:rPr>
      </w:pPr>
      <w:r w:rsidRPr="00020763">
        <w:rPr>
          <w:lang w:eastAsia="ru-RU"/>
        </w:rPr>
        <w:lastRenderedPageBreak/>
        <w:t xml:space="preserve">4) здійснює розрахунок розміру </w:t>
      </w:r>
      <w:r w:rsidR="00F867F7" w:rsidRPr="00020763">
        <w:rPr>
          <w:lang w:eastAsia="ru-RU"/>
        </w:rPr>
        <w:t xml:space="preserve">регулятивного </w:t>
      </w:r>
      <w:r w:rsidR="001C34D9" w:rsidRPr="00020763">
        <w:rPr>
          <w:lang w:eastAsia="ru-RU"/>
        </w:rPr>
        <w:t>капіталу,</w:t>
      </w:r>
      <w:r w:rsidR="00F867F7" w:rsidRPr="00020763">
        <w:rPr>
          <w:lang w:eastAsia="ru-RU"/>
        </w:rPr>
        <w:t xml:space="preserve"> </w:t>
      </w:r>
      <w:r w:rsidRPr="00020763">
        <w:rPr>
          <w:lang w:eastAsia="ru-RU"/>
        </w:rPr>
        <w:t xml:space="preserve">основного капіталу, </w:t>
      </w:r>
      <w:r w:rsidRPr="00020763">
        <w:t xml:space="preserve"> </w:t>
      </w:r>
      <w:r w:rsidRPr="00020763">
        <w:rPr>
          <w:lang w:eastAsia="ru-RU"/>
        </w:rPr>
        <w:t xml:space="preserve">значень нормативів Н2 </w:t>
      </w:r>
      <w:r w:rsidRPr="00020763">
        <w:rPr>
          <w:bCs/>
          <w:lang w:eastAsia="ru-RU"/>
        </w:rPr>
        <w:t>та Н3</w:t>
      </w:r>
      <w:r w:rsidRPr="00020763">
        <w:rPr>
          <w:lang w:eastAsia="ru-RU"/>
        </w:rPr>
        <w:t xml:space="preserve"> </w:t>
      </w:r>
      <w:r w:rsidRPr="00020763">
        <w:t xml:space="preserve">протягом прогнозного періоду </w:t>
      </w:r>
      <w:r w:rsidRPr="00020763">
        <w:rPr>
          <w:lang w:eastAsia="ru-RU"/>
        </w:rPr>
        <w:t xml:space="preserve">за базовим макроекономічним сценарієм </w:t>
      </w:r>
      <w:r w:rsidRPr="00020763">
        <w:rPr>
          <w:rFonts w:eastAsia="Calibri"/>
        </w:rPr>
        <w:t xml:space="preserve">з урахуванням результатів першого та другого етапів оцінки стійкості банку, </w:t>
      </w:r>
      <w:r w:rsidR="00AB0F93" w:rsidRPr="00020763">
        <w:rPr>
          <w:lang w:eastAsia="ru-RU"/>
        </w:rPr>
        <w:t>наявних результатів перевірки оцінки вартості майна,</w:t>
      </w:r>
      <w:r w:rsidR="00AB0F93" w:rsidRPr="00020763">
        <w:rPr>
          <w:rFonts w:eastAsia="Calibri"/>
        </w:rPr>
        <w:t xml:space="preserve"> </w:t>
      </w:r>
      <w:r w:rsidRPr="00020763">
        <w:rPr>
          <w:rFonts w:eastAsia="Calibri"/>
        </w:rPr>
        <w:t>прогнозу показників фінансової звітності банку, визначених на кінець кожного року прогнозного періоду за результатами стрес-тестування</w:t>
      </w:r>
      <w:r w:rsidRPr="00020763">
        <w:rPr>
          <w:lang w:eastAsia="ru-RU"/>
        </w:rPr>
        <w:t xml:space="preserve">; </w:t>
      </w:r>
    </w:p>
    <w:p w:rsidR="00D06C08" w:rsidRPr="00020763" w:rsidRDefault="00D06C08" w:rsidP="00020763">
      <w:pPr>
        <w:tabs>
          <w:tab w:val="left" w:pos="851"/>
          <w:tab w:val="left" w:pos="993"/>
        </w:tabs>
        <w:ind w:firstLine="567"/>
        <w:rPr>
          <w:lang w:eastAsia="ru-RU"/>
        </w:rPr>
      </w:pPr>
    </w:p>
    <w:p w:rsidR="00D06C08" w:rsidRPr="00020763" w:rsidRDefault="00D06C08" w:rsidP="00020763">
      <w:pPr>
        <w:tabs>
          <w:tab w:val="left" w:pos="851"/>
          <w:tab w:val="left" w:pos="993"/>
        </w:tabs>
        <w:ind w:firstLine="567"/>
      </w:pPr>
      <w:r w:rsidRPr="00020763">
        <w:rPr>
          <w:bCs/>
          <w:lang w:eastAsia="ru-RU"/>
        </w:rPr>
        <w:t>5)</w:t>
      </w:r>
      <w:r w:rsidR="00E35C1B" w:rsidRPr="00020763">
        <w:rPr>
          <w:lang w:eastAsia="ru-RU"/>
        </w:rPr>
        <w:t xml:space="preserve"> визначає необхідні рівні</w:t>
      </w:r>
      <w:r w:rsidRPr="00020763">
        <w:rPr>
          <w:lang w:eastAsia="ru-RU"/>
        </w:rPr>
        <w:t xml:space="preserve"> нормативів </w:t>
      </w:r>
      <w:r w:rsidRPr="00020763">
        <w:t xml:space="preserve">Н2 </w:t>
      </w:r>
      <w:r w:rsidRPr="00020763">
        <w:rPr>
          <w:bCs/>
          <w:lang w:eastAsia="ru-RU"/>
        </w:rPr>
        <w:t>та Н3</w:t>
      </w:r>
      <w:r w:rsidRPr="00020763">
        <w:t xml:space="preserve"> </w:t>
      </w:r>
      <w:r w:rsidRPr="00020763">
        <w:rPr>
          <w:lang w:eastAsia="ru-RU"/>
        </w:rPr>
        <w:t xml:space="preserve">на звітну дату </w:t>
      </w:r>
      <w:r w:rsidRPr="00020763">
        <w:t>згідно з Технічним завданням.</w:t>
      </w:r>
    </w:p>
    <w:p w:rsidR="00B93BA5" w:rsidRPr="00020763" w:rsidRDefault="00B93BA5" w:rsidP="00020763">
      <w:pPr>
        <w:tabs>
          <w:tab w:val="left" w:pos="851"/>
          <w:tab w:val="left" w:pos="993"/>
        </w:tabs>
        <w:ind w:firstLine="567"/>
      </w:pPr>
    </w:p>
    <w:p w:rsidR="00B93BA5" w:rsidRPr="00020763" w:rsidRDefault="004455F4" w:rsidP="00020763">
      <w:pPr>
        <w:pStyle w:val="ParagraphNumbering"/>
        <w:tabs>
          <w:tab w:val="left" w:pos="567"/>
          <w:tab w:val="left" w:pos="993"/>
        </w:tabs>
        <w:spacing w:after="0"/>
        <w:ind w:firstLine="567"/>
        <w:jc w:val="both"/>
        <w:rPr>
          <w:strike/>
          <w:sz w:val="28"/>
          <w:szCs w:val="28"/>
          <w:lang w:val="uk-UA" w:eastAsia="ru-RU"/>
        </w:rPr>
      </w:pPr>
      <w:r w:rsidRPr="00020763">
        <w:rPr>
          <w:sz w:val="28"/>
          <w:szCs w:val="28"/>
          <w:lang w:val="uk-UA" w:eastAsia="ru-RU"/>
        </w:rPr>
        <w:t>13</w:t>
      </w:r>
      <w:r w:rsidR="00B93BA5" w:rsidRPr="00020763">
        <w:rPr>
          <w:sz w:val="28"/>
          <w:szCs w:val="28"/>
          <w:lang w:val="uk-UA" w:eastAsia="ru-RU"/>
        </w:rPr>
        <w:t xml:space="preserve">. Національний банк під час першого, другого та третього етапів здійснює розрахунок розміру </w:t>
      </w:r>
      <w:r w:rsidR="00F867F7" w:rsidRPr="00020763">
        <w:rPr>
          <w:sz w:val="28"/>
          <w:szCs w:val="28"/>
          <w:lang w:val="uk-UA" w:eastAsia="ru-RU"/>
        </w:rPr>
        <w:t xml:space="preserve">регулятивного </w:t>
      </w:r>
      <w:r w:rsidR="00B93BA5" w:rsidRPr="00020763">
        <w:rPr>
          <w:sz w:val="28"/>
          <w:szCs w:val="28"/>
          <w:lang w:val="uk-UA" w:eastAsia="ru-RU"/>
        </w:rPr>
        <w:t xml:space="preserve">капіталу, </w:t>
      </w:r>
      <w:r w:rsidR="00F867F7" w:rsidRPr="00020763">
        <w:rPr>
          <w:sz w:val="28"/>
          <w:szCs w:val="28"/>
          <w:lang w:val="uk-UA" w:eastAsia="ru-RU"/>
        </w:rPr>
        <w:t xml:space="preserve">основного </w:t>
      </w:r>
      <w:r w:rsidR="00B93BA5" w:rsidRPr="00020763">
        <w:rPr>
          <w:sz w:val="28"/>
          <w:szCs w:val="28"/>
          <w:lang w:val="uk-UA" w:eastAsia="ru-RU"/>
        </w:rPr>
        <w:t>капіталу, значень нормативів Н2 і Н3 відповідно до вимог Інструкції №</w:t>
      </w:r>
      <w:r w:rsidR="00C95F62" w:rsidRPr="00020763">
        <w:rPr>
          <w:sz w:val="28"/>
          <w:szCs w:val="28"/>
          <w:lang w:val="uk-UA" w:eastAsia="ru-RU"/>
        </w:rPr>
        <w:t> </w:t>
      </w:r>
      <w:r w:rsidR="00B93BA5" w:rsidRPr="00020763">
        <w:rPr>
          <w:sz w:val="28"/>
          <w:szCs w:val="28"/>
          <w:lang w:val="uk-UA" w:eastAsia="ru-RU"/>
        </w:rPr>
        <w:t>368, інших актів Національного банку, що визначають методику розрахунку економічних нормативів регулювання діяльності банків,</w:t>
      </w:r>
      <w:r w:rsidR="00B93BA5" w:rsidRPr="00020763">
        <w:rPr>
          <w:rFonts w:eastAsia="Calibri"/>
          <w:sz w:val="28"/>
          <w:szCs w:val="28"/>
          <w:lang w:val="uk-UA"/>
        </w:rPr>
        <w:t xml:space="preserve"> </w:t>
      </w:r>
      <w:r w:rsidR="00B93BA5" w:rsidRPr="00020763">
        <w:rPr>
          <w:sz w:val="28"/>
          <w:szCs w:val="28"/>
          <w:lang w:val="uk-UA" w:eastAsia="ru-RU"/>
        </w:rPr>
        <w:t xml:space="preserve">з урахуванням коригувань фінансової звітності за звітний місяць, здійснених згідно з вимогами Інструкції </w:t>
      </w:r>
      <w:r w:rsidR="00CF238C" w:rsidRPr="00020763">
        <w:rPr>
          <w:sz w:val="28"/>
          <w:szCs w:val="28"/>
          <w:lang w:val="uk-UA" w:eastAsia="ru-RU"/>
        </w:rPr>
        <w:t>№ 373</w:t>
      </w:r>
      <w:r w:rsidR="00AF3588" w:rsidRPr="00020763">
        <w:rPr>
          <w:sz w:val="28"/>
          <w:szCs w:val="28"/>
          <w:lang w:val="uk-UA" w:eastAsia="ru-RU"/>
        </w:rPr>
        <w:t>,</w:t>
      </w:r>
      <w:r w:rsidR="00CF238C" w:rsidRPr="00020763">
        <w:rPr>
          <w:sz w:val="28"/>
          <w:szCs w:val="28"/>
          <w:lang w:val="uk-UA" w:eastAsia="ru-RU"/>
        </w:rPr>
        <w:t xml:space="preserve"> </w:t>
      </w:r>
      <w:r w:rsidR="00B93BA5" w:rsidRPr="00020763">
        <w:rPr>
          <w:sz w:val="28"/>
          <w:szCs w:val="28"/>
          <w:lang w:val="uk-UA" w:eastAsia="ru-RU"/>
        </w:rPr>
        <w:t xml:space="preserve">та особливостей, визначених у пункті </w:t>
      </w:r>
      <w:r w:rsidRPr="00020763">
        <w:rPr>
          <w:sz w:val="28"/>
          <w:szCs w:val="28"/>
          <w:lang w:val="uk-UA" w:eastAsia="ru-RU"/>
        </w:rPr>
        <w:t>10</w:t>
      </w:r>
      <w:r w:rsidR="00B93BA5" w:rsidRPr="00020763">
        <w:rPr>
          <w:sz w:val="28"/>
          <w:szCs w:val="28"/>
          <w:lang w:val="uk-UA" w:eastAsia="ru-RU"/>
        </w:rPr>
        <w:t xml:space="preserve"> розділу ІІ</w:t>
      </w:r>
      <w:r w:rsidRPr="00020763">
        <w:rPr>
          <w:sz w:val="28"/>
          <w:szCs w:val="28"/>
          <w:lang w:eastAsia="ru-RU"/>
        </w:rPr>
        <w:t>I</w:t>
      </w:r>
      <w:r w:rsidR="00B93BA5" w:rsidRPr="00020763">
        <w:rPr>
          <w:sz w:val="28"/>
          <w:szCs w:val="28"/>
          <w:lang w:val="uk-UA" w:eastAsia="ru-RU"/>
        </w:rPr>
        <w:t xml:space="preserve"> цих Правил. </w:t>
      </w:r>
    </w:p>
    <w:p w:rsidR="00632E34" w:rsidRPr="00020763" w:rsidRDefault="00632E34" w:rsidP="00020763">
      <w:pPr>
        <w:ind w:firstLine="567"/>
        <w:rPr>
          <w:lang w:eastAsia="ru-RU"/>
        </w:rPr>
      </w:pPr>
    </w:p>
    <w:p w:rsidR="009F0F9C" w:rsidRPr="00020763" w:rsidRDefault="004455F4" w:rsidP="00020763">
      <w:pPr>
        <w:ind w:firstLine="567"/>
        <w:rPr>
          <w:lang w:eastAsia="ru-RU"/>
        </w:rPr>
      </w:pPr>
      <w:r w:rsidRPr="00020763">
        <w:rPr>
          <w:lang w:eastAsia="ru-RU"/>
        </w:rPr>
        <w:t>14</w:t>
      </w:r>
      <w:r w:rsidR="00AA3645" w:rsidRPr="00020763">
        <w:rPr>
          <w:lang w:eastAsia="ru-RU"/>
        </w:rPr>
        <w:t xml:space="preserve">. Національний банк здійснює </w:t>
      </w:r>
      <w:r w:rsidR="009F0F9C" w:rsidRPr="00020763">
        <w:rPr>
          <w:lang w:eastAsia="ru-RU"/>
        </w:rPr>
        <w:t>перевірку</w:t>
      </w:r>
      <w:r w:rsidR="00AE57D3" w:rsidRPr="00020763">
        <w:rPr>
          <w:lang w:eastAsia="ru-RU"/>
        </w:rPr>
        <w:t xml:space="preserve"> оцінки вартості майна</w:t>
      </w:r>
      <w:r w:rsidR="00847FA4" w:rsidRPr="00020763">
        <w:rPr>
          <w:lang w:eastAsia="ru-RU"/>
        </w:rPr>
        <w:t xml:space="preserve"> </w:t>
      </w:r>
      <w:r w:rsidR="009B3CAC" w:rsidRPr="00020763">
        <w:rPr>
          <w:lang w:eastAsia="ru-RU"/>
        </w:rPr>
        <w:t xml:space="preserve">із застосуванням </w:t>
      </w:r>
      <w:r w:rsidR="006F48AA" w:rsidRPr="00020763">
        <w:rPr>
          <w:lang w:eastAsia="ru-RU"/>
        </w:rPr>
        <w:t xml:space="preserve">таких </w:t>
      </w:r>
      <w:r w:rsidR="008B5393" w:rsidRPr="00020763">
        <w:rPr>
          <w:lang w:eastAsia="ru-RU"/>
        </w:rPr>
        <w:t>заходів у такій послідовності</w:t>
      </w:r>
      <w:r w:rsidR="009F0F9C" w:rsidRPr="00020763">
        <w:rPr>
          <w:lang w:eastAsia="ru-RU"/>
        </w:rPr>
        <w:t>:</w:t>
      </w:r>
    </w:p>
    <w:p w:rsidR="002A5A3D" w:rsidRPr="00020763" w:rsidRDefault="002A5A3D" w:rsidP="00020763">
      <w:pPr>
        <w:ind w:firstLine="567"/>
        <w:rPr>
          <w:lang w:eastAsia="ru-RU"/>
        </w:rPr>
      </w:pPr>
    </w:p>
    <w:p w:rsidR="00E23675" w:rsidRPr="00020763" w:rsidRDefault="00606521" w:rsidP="00020763">
      <w:pPr>
        <w:tabs>
          <w:tab w:val="left" w:pos="993"/>
        </w:tabs>
        <w:ind w:firstLine="567"/>
        <w:rPr>
          <w:lang w:eastAsia="ru-RU"/>
        </w:rPr>
      </w:pPr>
      <w:r w:rsidRPr="00020763">
        <w:rPr>
          <w:lang w:eastAsia="ru-RU"/>
        </w:rPr>
        <w:t xml:space="preserve">1) </w:t>
      </w:r>
      <w:r w:rsidR="00E23675" w:rsidRPr="00020763">
        <w:rPr>
          <w:lang w:eastAsia="ru-RU"/>
        </w:rPr>
        <w:t>отримання документів та інформації від банку для здійснення перевірки оцінки вартості майна;</w:t>
      </w:r>
    </w:p>
    <w:p w:rsidR="00E23675" w:rsidRPr="00020763" w:rsidRDefault="00E23675" w:rsidP="00020763">
      <w:pPr>
        <w:tabs>
          <w:tab w:val="left" w:pos="993"/>
        </w:tabs>
        <w:ind w:firstLine="567"/>
        <w:rPr>
          <w:lang w:eastAsia="ru-RU"/>
        </w:rPr>
      </w:pPr>
    </w:p>
    <w:p w:rsidR="009B3CAC" w:rsidRPr="00020763" w:rsidRDefault="00E23675" w:rsidP="00020763">
      <w:pPr>
        <w:tabs>
          <w:tab w:val="left" w:pos="993"/>
        </w:tabs>
        <w:ind w:firstLine="567"/>
        <w:rPr>
          <w:lang w:eastAsia="ru-RU"/>
        </w:rPr>
      </w:pPr>
      <w:r w:rsidRPr="00020763">
        <w:rPr>
          <w:lang w:eastAsia="ru-RU"/>
        </w:rPr>
        <w:t xml:space="preserve">2) </w:t>
      </w:r>
      <w:r w:rsidR="00606521" w:rsidRPr="00020763">
        <w:rPr>
          <w:lang w:eastAsia="ru-RU"/>
        </w:rPr>
        <w:t>верифікація</w:t>
      </w:r>
      <w:r w:rsidR="006F48AA" w:rsidRPr="00020763">
        <w:rPr>
          <w:lang w:eastAsia="ru-RU"/>
        </w:rPr>
        <w:t xml:space="preserve"> звіту</w:t>
      </w:r>
      <w:r w:rsidR="0013756C" w:rsidRPr="00020763">
        <w:rPr>
          <w:lang w:eastAsia="ru-RU"/>
        </w:rPr>
        <w:t xml:space="preserve"> СОД</w:t>
      </w:r>
      <w:r w:rsidR="006F48AA" w:rsidRPr="00020763">
        <w:rPr>
          <w:lang w:eastAsia="ru-RU"/>
        </w:rPr>
        <w:t>/внутрішньобанківського документа</w:t>
      </w:r>
      <w:r w:rsidR="009B3CAC" w:rsidRPr="00020763">
        <w:rPr>
          <w:lang w:eastAsia="ru-RU"/>
        </w:rPr>
        <w:t xml:space="preserve"> про оцінку майна;</w:t>
      </w:r>
    </w:p>
    <w:p w:rsidR="009B3CAC" w:rsidRPr="00020763" w:rsidRDefault="009B3CAC" w:rsidP="00020763">
      <w:pPr>
        <w:tabs>
          <w:tab w:val="left" w:pos="993"/>
        </w:tabs>
        <w:ind w:firstLine="567"/>
        <w:rPr>
          <w:bCs/>
        </w:rPr>
      </w:pPr>
    </w:p>
    <w:p w:rsidR="0013756C" w:rsidRPr="00020763" w:rsidRDefault="00E23675" w:rsidP="00020763">
      <w:pPr>
        <w:tabs>
          <w:tab w:val="left" w:pos="993"/>
        </w:tabs>
        <w:ind w:firstLine="567"/>
        <w:rPr>
          <w:lang w:eastAsia="ru-RU"/>
        </w:rPr>
      </w:pPr>
      <w:r w:rsidRPr="00020763">
        <w:rPr>
          <w:bCs/>
        </w:rPr>
        <w:t>3</w:t>
      </w:r>
      <w:r w:rsidR="009B3CAC" w:rsidRPr="00020763">
        <w:rPr>
          <w:bCs/>
        </w:rPr>
        <w:t xml:space="preserve">) </w:t>
      </w:r>
      <w:r w:rsidR="00F403FA" w:rsidRPr="00020763">
        <w:rPr>
          <w:bCs/>
        </w:rPr>
        <w:t xml:space="preserve">направлення </w:t>
      </w:r>
      <w:r w:rsidR="006F48AA" w:rsidRPr="00020763">
        <w:rPr>
          <w:lang w:eastAsia="ru-RU"/>
        </w:rPr>
        <w:t>звіту</w:t>
      </w:r>
      <w:r w:rsidR="00F403FA" w:rsidRPr="00020763">
        <w:rPr>
          <w:lang w:eastAsia="ru-RU"/>
        </w:rPr>
        <w:t xml:space="preserve"> СОД (</w:t>
      </w:r>
      <w:r w:rsidR="006F48AA" w:rsidRPr="00020763">
        <w:rPr>
          <w:bCs/>
        </w:rPr>
        <w:t>крім звіту</w:t>
      </w:r>
      <w:r w:rsidR="00C57877" w:rsidRPr="00020763">
        <w:rPr>
          <w:bCs/>
        </w:rPr>
        <w:t xml:space="preserve"> </w:t>
      </w:r>
      <w:r w:rsidR="00C57877" w:rsidRPr="00020763">
        <w:t>з експертної грошової оцінки земельної ділянки</w:t>
      </w:r>
      <w:r w:rsidR="00F403FA" w:rsidRPr="00020763">
        <w:rPr>
          <w:bCs/>
        </w:rPr>
        <w:t xml:space="preserve">) </w:t>
      </w:r>
      <w:r w:rsidR="00F403FA" w:rsidRPr="00020763">
        <w:rPr>
          <w:lang w:eastAsia="ru-RU"/>
        </w:rPr>
        <w:t xml:space="preserve">на рецензування до ФДМУ у випадках, визначних </w:t>
      </w:r>
      <w:r w:rsidR="00D80053" w:rsidRPr="00020763">
        <w:rPr>
          <w:lang w:eastAsia="ru-RU"/>
        </w:rPr>
        <w:t xml:space="preserve">у </w:t>
      </w:r>
      <w:r w:rsidR="00F403FA" w:rsidRPr="00020763">
        <w:rPr>
          <w:lang w:eastAsia="ru-RU"/>
        </w:rPr>
        <w:t>пункт</w:t>
      </w:r>
      <w:r w:rsidR="00D80053" w:rsidRPr="00020763">
        <w:rPr>
          <w:lang w:eastAsia="ru-RU"/>
        </w:rPr>
        <w:t>і</w:t>
      </w:r>
      <w:r w:rsidR="00F403FA" w:rsidRPr="00020763">
        <w:rPr>
          <w:lang w:eastAsia="ru-RU"/>
        </w:rPr>
        <w:t xml:space="preserve"> </w:t>
      </w:r>
      <w:r w:rsidR="004455F4" w:rsidRPr="00020763">
        <w:rPr>
          <w:lang w:eastAsia="ru-RU"/>
        </w:rPr>
        <w:t>20</w:t>
      </w:r>
      <w:r w:rsidR="00F403FA" w:rsidRPr="00020763">
        <w:rPr>
          <w:lang w:eastAsia="ru-RU"/>
        </w:rPr>
        <w:t xml:space="preserve"> розділу ІІ</w:t>
      </w:r>
      <w:r w:rsidR="004455F4" w:rsidRPr="00020763">
        <w:rPr>
          <w:lang w:eastAsia="ru-RU"/>
        </w:rPr>
        <w:t>І</w:t>
      </w:r>
      <w:r w:rsidR="00F403FA" w:rsidRPr="00020763">
        <w:rPr>
          <w:lang w:eastAsia="ru-RU"/>
        </w:rPr>
        <w:t xml:space="preserve"> цих Правил;</w:t>
      </w:r>
    </w:p>
    <w:p w:rsidR="00F403FA" w:rsidRPr="00020763" w:rsidRDefault="00F403FA" w:rsidP="00020763">
      <w:pPr>
        <w:tabs>
          <w:tab w:val="left" w:pos="993"/>
        </w:tabs>
        <w:ind w:firstLine="567"/>
        <w:rPr>
          <w:lang w:eastAsia="ru-RU"/>
        </w:rPr>
      </w:pPr>
    </w:p>
    <w:p w:rsidR="00697A18" w:rsidRPr="00020763" w:rsidRDefault="00E23675" w:rsidP="00020763">
      <w:pPr>
        <w:tabs>
          <w:tab w:val="left" w:pos="993"/>
        </w:tabs>
        <w:ind w:firstLine="567"/>
        <w:rPr>
          <w:lang w:eastAsia="ru-RU"/>
        </w:rPr>
      </w:pPr>
      <w:r w:rsidRPr="00020763">
        <w:rPr>
          <w:lang w:eastAsia="ru-RU"/>
        </w:rPr>
        <w:t>4</w:t>
      </w:r>
      <w:r w:rsidR="00F403FA" w:rsidRPr="00020763">
        <w:rPr>
          <w:lang w:eastAsia="ru-RU"/>
        </w:rPr>
        <w:t xml:space="preserve">) </w:t>
      </w:r>
      <w:r w:rsidR="00D80053" w:rsidRPr="00020763">
        <w:rPr>
          <w:lang w:eastAsia="ru-RU"/>
        </w:rPr>
        <w:t xml:space="preserve">урахування </w:t>
      </w:r>
      <w:r w:rsidR="009B3CAC" w:rsidRPr="00020763">
        <w:rPr>
          <w:lang w:eastAsia="ru-RU"/>
        </w:rPr>
        <w:t>резу</w:t>
      </w:r>
      <w:r w:rsidR="009A5CAE" w:rsidRPr="00020763">
        <w:rPr>
          <w:lang w:eastAsia="ru-RU"/>
        </w:rPr>
        <w:t>льтату</w:t>
      </w:r>
      <w:r w:rsidR="006F48AA" w:rsidRPr="00020763">
        <w:rPr>
          <w:lang w:eastAsia="ru-RU"/>
        </w:rPr>
        <w:t xml:space="preserve"> рецензування ФДМУ звіту</w:t>
      </w:r>
      <w:r w:rsidR="009B3CAC" w:rsidRPr="00020763">
        <w:rPr>
          <w:lang w:eastAsia="ru-RU"/>
        </w:rPr>
        <w:t xml:space="preserve"> СОД (</w:t>
      </w:r>
      <w:r w:rsidR="006F48AA" w:rsidRPr="00020763">
        <w:rPr>
          <w:bCs/>
        </w:rPr>
        <w:t>крім звіту</w:t>
      </w:r>
      <w:r w:rsidR="009B3CAC" w:rsidRPr="00020763">
        <w:rPr>
          <w:bCs/>
        </w:rPr>
        <w:t xml:space="preserve"> </w:t>
      </w:r>
      <w:r w:rsidR="009B3CAC" w:rsidRPr="00020763">
        <w:t>з експ</w:t>
      </w:r>
      <w:r w:rsidR="004162F8" w:rsidRPr="00020763">
        <w:t>ертної грошової оц</w:t>
      </w:r>
      <w:r w:rsidR="006F48AA" w:rsidRPr="00020763">
        <w:t>інки земельної</w:t>
      </w:r>
      <w:r w:rsidR="009B3CAC" w:rsidRPr="00020763">
        <w:t xml:space="preserve"> ділянк</w:t>
      </w:r>
      <w:r w:rsidR="006F48AA" w:rsidRPr="00020763">
        <w:t>и</w:t>
      </w:r>
      <w:r w:rsidR="009B3CAC" w:rsidRPr="00020763">
        <w:rPr>
          <w:bCs/>
        </w:rPr>
        <w:t>)</w:t>
      </w:r>
      <w:r w:rsidR="00F403FA" w:rsidRPr="00020763">
        <w:rPr>
          <w:lang w:eastAsia="ru-RU"/>
        </w:rPr>
        <w:t>.</w:t>
      </w:r>
      <w:r w:rsidR="00697A18" w:rsidRPr="00020763">
        <w:rPr>
          <w:lang w:eastAsia="ru-RU"/>
        </w:rPr>
        <w:t xml:space="preserve"> </w:t>
      </w:r>
    </w:p>
    <w:p w:rsidR="00F403FA" w:rsidRPr="00020763" w:rsidRDefault="00D80053" w:rsidP="00020763">
      <w:pPr>
        <w:tabs>
          <w:tab w:val="left" w:pos="993"/>
        </w:tabs>
        <w:ind w:firstLine="567"/>
        <w:rPr>
          <w:lang w:eastAsia="ru-RU"/>
        </w:rPr>
      </w:pPr>
      <w:r w:rsidRPr="00020763">
        <w:rPr>
          <w:lang w:eastAsia="ru-RU"/>
        </w:rPr>
        <w:t xml:space="preserve">Урахування </w:t>
      </w:r>
      <w:r w:rsidR="009A5CAE" w:rsidRPr="00020763">
        <w:rPr>
          <w:lang w:eastAsia="ru-RU"/>
        </w:rPr>
        <w:t>результату</w:t>
      </w:r>
      <w:r w:rsidR="00697A18" w:rsidRPr="00020763">
        <w:rPr>
          <w:lang w:eastAsia="ru-RU"/>
        </w:rPr>
        <w:t xml:space="preserve"> рецензування ФДМУ звіту СОД (</w:t>
      </w:r>
      <w:r w:rsidR="00697A18" w:rsidRPr="00020763">
        <w:rPr>
          <w:bCs/>
        </w:rPr>
        <w:t xml:space="preserve">крім звіту </w:t>
      </w:r>
      <w:r w:rsidR="00697A18" w:rsidRPr="00020763">
        <w:t>з експертної грошової оцінки земельної ділянки</w:t>
      </w:r>
      <w:r w:rsidR="00697A18" w:rsidRPr="00020763">
        <w:rPr>
          <w:bCs/>
        </w:rPr>
        <w:t>) під час зд</w:t>
      </w:r>
      <w:r w:rsidR="009A5CAE" w:rsidRPr="00020763">
        <w:rPr>
          <w:bCs/>
        </w:rPr>
        <w:t>ійснення оцінки стійкості банку, складання банком</w:t>
      </w:r>
      <w:r w:rsidR="00697A18" w:rsidRPr="00020763">
        <w:rPr>
          <w:bCs/>
        </w:rPr>
        <w:t xml:space="preserve"> програм</w:t>
      </w:r>
      <w:r w:rsidR="009A5CAE" w:rsidRPr="00020763">
        <w:rPr>
          <w:bCs/>
        </w:rPr>
        <w:t>и</w:t>
      </w:r>
      <w:r w:rsidR="00697A18" w:rsidRPr="00020763">
        <w:rPr>
          <w:bCs/>
        </w:rPr>
        <w:t xml:space="preserve"> капіталізації/рестр</w:t>
      </w:r>
      <w:r w:rsidR="009A5CAE" w:rsidRPr="00020763">
        <w:rPr>
          <w:bCs/>
        </w:rPr>
        <w:t>уктуризації, розгляду</w:t>
      </w:r>
      <w:r w:rsidR="00697A18" w:rsidRPr="00020763">
        <w:rPr>
          <w:bCs/>
        </w:rPr>
        <w:t xml:space="preserve"> Національни</w:t>
      </w:r>
      <w:r w:rsidR="009A5CAE" w:rsidRPr="00020763">
        <w:rPr>
          <w:bCs/>
        </w:rPr>
        <w:t>м банком програми капіталізації/</w:t>
      </w:r>
      <w:r w:rsidR="00697A18" w:rsidRPr="00020763">
        <w:rPr>
          <w:bCs/>
        </w:rPr>
        <w:t>реструктуризації банків, контролю за ї</w:t>
      </w:r>
      <w:r w:rsidR="009A5CAE" w:rsidRPr="00020763">
        <w:rPr>
          <w:bCs/>
        </w:rPr>
        <w:t>ї</w:t>
      </w:r>
      <w:r w:rsidR="00697A18" w:rsidRPr="00020763">
        <w:rPr>
          <w:bCs/>
        </w:rPr>
        <w:t xml:space="preserve"> виконанням здійснюється з</w:t>
      </w:r>
      <w:r w:rsidR="009A5CAE" w:rsidRPr="00020763">
        <w:rPr>
          <w:lang w:eastAsia="ru-RU"/>
        </w:rPr>
        <w:t>алежно від того, коли такий результат надійшов</w:t>
      </w:r>
      <w:r w:rsidR="00697A18" w:rsidRPr="00020763">
        <w:rPr>
          <w:lang w:eastAsia="ru-RU"/>
        </w:rPr>
        <w:t xml:space="preserve"> до Національного банку</w:t>
      </w:r>
      <w:r w:rsidR="008E5CEF" w:rsidRPr="00020763">
        <w:rPr>
          <w:lang w:eastAsia="ru-RU"/>
        </w:rPr>
        <w:t>/банку</w:t>
      </w:r>
      <w:r w:rsidR="00697A18" w:rsidRPr="00020763">
        <w:rPr>
          <w:lang w:eastAsia="ru-RU"/>
        </w:rPr>
        <w:t>.</w:t>
      </w:r>
    </w:p>
    <w:p w:rsidR="00847FA4" w:rsidRPr="00020763" w:rsidRDefault="00847FA4" w:rsidP="00020763">
      <w:pPr>
        <w:tabs>
          <w:tab w:val="left" w:pos="993"/>
        </w:tabs>
        <w:ind w:firstLine="567"/>
        <w:rPr>
          <w:lang w:eastAsia="ru-RU"/>
        </w:rPr>
      </w:pPr>
    </w:p>
    <w:p w:rsidR="0096201F" w:rsidRPr="00020763" w:rsidRDefault="00CF238C" w:rsidP="00020763">
      <w:pPr>
        <w:pStyle w:val="xmsolistparagraph"/>
        <w:shd w:val="clear" w:color="auto" w:fill="FFFFFF"/>
        <w:spacing w:before="0" w:beforeAutospacing="0" w:after="0" w:afterAutospacing="0"/>
        <w:ind w:firstLine="567"/>
        <w:jc w:val="both"/>
        <w:rPr>
          <w:sz w:val="28"/>
          <w:szCs w:val="28"/>
        </w:rPr>
      </w:pPr>
      <w:r w:rsidRPr="00020763">
        <w:rPr>
          <w:sz w:val="28"/>
          <w:szCs w:val="28"/>
          <w:lang w:eastAsia="ru-RU"/>
        </w:rPr>
        <w:t>1</w:t>
      </w:r>
      <w:r w:rsidR="004455F4" w:rsidRPr="00020763">
        <w:rPr>
          <w:sz w:val="28"/>
          <w:szCs w:val="28"/>
          <w:lang w:eastAsia="ru-RU"/>
        </w:rPr>
        <w:t>5</w:t>
      </w:r>
      <w:r w:rsidR="0096201F" w:rsidRPr="00020763">
        <w:rPr>
          <w:sz w:val="28"/>
          <w:szCs w:val="28"/>
          <w:lang w:eastAsia="ru-RU"/>
        </w:rPr>
        <w:t xml:space="preserve">. </w:t>
      </w:r>
      <w:r w:rsidR="002A568B" w:rsidRPr="00020763">
        <w:rPr>
          <w:sz w:val="28"/>
          <w:szCs w:val="28"/>
          <w:lang w:eastAsia="ru-RU"/>
        </w:rPr>
        <w:t>Національний банк здійснює</w:t>
      </w:r>
      <w:r w:rsidR="00E23675" w:rsidRPr="00020763">
        <w:rPr>
          <w:sz w:val="28"/>
          <w:szCs w:val="28"/>
          <w:lang w:eastAsia="ru-RU"/>
        </w:rPr>
        <w:t xml:space="preserve"> перевірку оцінки вартості майна</w:t>
      </w:r>
      <w:r w:rsidRPr="00020763">
        <w:rPr>
          <w:sz w:val="28"/>
          <w:szCs w:val="28"/>
          <w:lang w:eastAsia="ru-RU"/>
        </w:rPr>
        <w:t xml:space="preserve">, наданого </w:t>
      </w:r>
      <w:r w:rsidR="00D80053" w:rsidRPr="00020763">
        <w:rPr>
          <w:sz w:val="28"/>
          <w:szCs w:val="28"/>
          <w:lang w:eastAsia="ru-RU"/>
        </w:rPr>
        <w:t xml:space="preserve">в </w:t>
      </w:r>
      <w:r w:rsidRPr="00020763">
        <w:rPr>
          <w:sz w:val="28"/>
          <w:szCs w:val="28"/>
          <w:lang w:eastAsia="ru-RU"/>
        </w:rPr>
        <w:t xml:space="preserve">забезпечення </w:t>
      </w:r>
      <w:r w:rsidR="009200A7" w:rsidRPr="00020763">
        <w:rPr>
          <w:sz w:val="28"/>
          <w:szCs w:val="28"/>
          <w:lang w:eastAsia="ru-RU"/>
        </w:rPr>
        <w:t>за к</w:t>
      </w:r>
      <w:r w:rsidR="000F0E55" w:rsidRPr="00020763">
        <w:rPr>
          <w:sz w:val="28"/>
          <w:szCs w:val="28"/>
          <w:lang w:eastAsia="ru-RU"/>
        </w:rPr>
        <w:t>редитами, наданими</w:t>
      </w:r>
      <w:r w:rsidR="009200A7" w:rsidRPr="00020763">
        <w:rPr>
          <w:sz w:val="28"/>
          <w:szCs w:val="28"/>
          <w:lang w:eastAsia="ru-RU"/>
        </w:rPr>
        <w:t xml:space="preserve"> боржникам – </w:t>
      </w:r>
      <w:r w:rsidR="00D80053" w:rsidRPr="00020763">
        <w:rPr>
          <w:sz w:val="28"/>
          <w:szCs w:val="28"/>
          <w:lang w:eastAsia="ru-RU"/>
        </w:rPr>
        <w:t>ЮО</w:t>
      </w:r>
      <w:r w:rsidR="009200A7" w:rsidRPr="00020763">
        <w:rPr>
          <w:sz w:val="28"/>
          <w:szCs w:val="28"/>
          <w:lang w:eastAsia="ru-RU"/>
        </w:rPr>
        <w:t>,</w:t>
      </w:r>
      <w:r w:rsidR="009200A7" w:rsidRPr="00020763">
        <w:rPr>
          <w:bCs/>
          <w:sz w:val="28"/>
          <w:szCs w:val="28"/>
          <w:lang w:eastAsia="ru-RU"/>
        </w:rPr>
        <w:t xml:space="preserve"> </w:t>
      </w:r>
      <w:r w:rsidR="0096201F" w:rsidRPr="00020763">
        <w:rPr>
          <w:bCs/>
          <w:sz w:val="28"/>
          <w:szCs w:val="28"/>
          <w:lang w:eastAsia="ru-RU"/>
        </w:rPr>
        <w:t>у</w:t>
      </w:r>
      <w:r w:rsidR="00922A8C" w:rsidRPr="00020763">
        <w:rPr>
          <w:sz w:val="28"/>
          <w:szCs w:val="28"/>
          <w:shd w:val="clear" w:color="auto" w:fill="FFFFFF"/>
          <w:lang w:eastAsia="ru-RU"/>
        </w:rPr>
        <w:t> </w:t>
      </w:r>
      <w:r w:rsidR="0096201F" w:rsidRPr="00020763">
        <w:rPr>
          <w:bCs/>
          <w:sz w:val="28"/>
          <w:szCs w:val="28"/>
          <w:lang w:eastAsia="ru-RU"/>
        </w:rPr>
        <w:t xml:space="preserve"> випадках, визначених у Технічному завданні</w:t>
      </w:r>
      <w:r w:rsidR="0096201F" w:rsidRPr="00020763">
        <w:rPr>
          <w:sz w:val="28"/>
          <w:szCs w:val="28"/>
        </w:rPr>
        <w:t xml:space="preserve">. </w:t>
      </w:r>
    </w:p>
    <w:p w:rsidR="009E3789" w:rsidRPr="00020763" w:rsidRDefault="009E3789" w:rsidP="00020763">
      <w:pPr>
        <w:ind w:firstLine="567"/>
        <w:rPr>
          <w:highlight w:val="yellow"/>
          <w:lang w:eastAsia="ru-RU"/>
        </w:rPr>
      </w:pPr>
    </w:p>
    <w:p w:rsidR="00BE63BE" w:rsidRPr="00020763" w:rsidRDefault="00922A8C" w:rsidP="00020763">
      <w:pPr>
        <w:ind w:firstLine="567"/>
        <w:rPr>
          <w:lang w:eastAsia="ru-RU"/>
        </w:rPr>
      </w:pPr>
      <w:r w:rsidRPr="00020763">
        <w:rPr>
          <w:lang w:eastAsia="ru-RU"/>
        </w:rPr>
        <w:t>1</w:t>
      </w:r>
      <w:r w:rsidR="004455F4" w:rsidRPr="00020763">
        <w:rPr>
          <w:lang w:eastAsia="ru-RU"/>
        </w:rPr>
        <w:t>6</w:t>
      </w:r>
      <w:r w:rsidRPr="00020763">
        <w:rPr>
          <w:lang w:eastAsia="ru-RU"/>
        </w:rPr>
        <w:t xml:space="preserve">. </w:t>
      </w:r>
      <w:r w:rsidR="00E35E76" w:rsidRPr="00020763">
        <w:rPr>
          <w:lang w:eastAsia="ru-RU"/>
        </w:rPr>
        <w:t>Банк надає д</w:t>
      </w:r>
      <w:r w:rsidR="0073452A" w:rsidRPr="00020763">
        <w:rPr>
          <w:lang w:eastAsia="ru-RU"/>
        </w:rPr>
        <w:t xml:space="preserve">ля </w:t>
      </w:r>
      <w:r w:rsidR="00E23675" w:rsidRPr="00020763">
        <w:rPr>
          <w:lang w:eastAsia="ru-RU"/>
        </w:rPr>
        <w:t xml:space="preserve">здійснення перевірки оцінки вартості майна </w:t>
      </w:r>
      <w:r w:rsidR="00D044EF" w:rsidRPr="00020763">
        <w:rPr>
          <w:lang w:eastAsia="ru-RU"/>
        </w:rPr>
        <w:t>такі документи та інформацію</w:t>
      </w:r>
      <w:r w:rsidR="00BE63BE" w:rsidRPr="00020763">
        <w:rPr>
          <w:lang w:eastAsia="ru-RU"/>
        </w:rPr>
        <w:t>:</w:t>
      </w:r>
    </w:p>
    <w:p w:rsidR="00BE63BE" w:rsidRPr="00020763" w:rsidRDefault="00BE63BE" w:rsidP="00020763">
      <w:pPr>
        <w:pStyle w:val="xmsonormal"/>
        <w:shd w:val="clear" w:color="auto" w:fill="FFFFFF" w:themeFill="background1"/>
        <w:tabs>
          <w:tab w:val="left" w:pos="1560"/>
        </w:tabs>
        <w:spacing w:before="0" w:beforeAutospacing="0" w:after="0" w:afterAutospacing="0"/>
        <w:ind w:firstLine="567"/>
        <w:jc w:val="both"/>
        <w:rPr>
          <w:sz w:val="28"/>
          <w:szCs w:val="28"/>
          <w:lang w:eastAsia="ru-RU"/>
        </w:rPr>
      </w:pPr>
    </w:p>
    <w:p w:rsidR="009200A7" w:rsidRPr="00020763" w:rsidRDefault="009200A7" w:rsidP="00020763">
      <w:pPr>
        <w:shd w:val="clear" w:color="auto" w:fill="FFFFFF" w:themeFill="background1"/>
        <w:ind w:firstLine="567"/>
        <w:rPr>
          <w:lang w:eastAsia="ru-RU"/>
        </w:rPr>
      </w:pPr>
      <w:r w:rsidRPr="00020763">
        <w:rPr>
          <w:lang w:eastAsia="ru-RU"/>
        </w:rPr>
        <w:t xml:space="preserve">1) у разі здійснення оцінки майна </w:t>
      </w:r>
      <w:r w:rsidR="00B32228" w:rsidRPr="00020763">
        <w:rPr>
          <w:bCs/>
        </w:rPr>
        <w:t>суб’єктом оціночної діяльності</w:t>
      </w:r>
      <w:r w:rsidRPr="00020763">
        <w:rPr>
          <w:lang w:eastAsia="ru-RU"/>
        </w:rPr>
        <w:t>:</w:t>
      </w:r>
    </w:p>
    <w:p w:rsidR="009200A7" w:rsidRPr="00020763" w:rsidRDefault="009200A7" w:rsidP="00020763">
      <w:pPr>
        <w:shd w:val="clear" w:color="auto" w:fill="FFFFFF" w:themeFill="background1"/>
        <w:ind w:firstLine="567"/>
        <w:rPr>
          <w:lang w:eastAsia="ru-RU"/>
        </w:rPr>
      </w:pPr>
      <w:r w:rsidRPr="00020763">
        <w:rPr>
          <w:lang w:eastAsia="ru-RU"/>
        </w:rPr>
        <w:t>звіт СОД з</w:t>
      </w:r>
      <w:r w:rsidR="007E3AD9" w:rsidRPr="00020763">
        <w:rPr>
          <w:lang w:eastAsia="ru-RU"/>
        </w:rPr>
        <w:t xml:space="preserve"> у</w:t>
      </w:r>
      <w:r w:rsidRPr="00020763">
        <w:rPr>
          <w:lang w:eastAsia="ru-RU"/>
        </w:rPr>
        <w:t>сіма додатками;</w:t>
      </w:r>
    </w:p>
    <w:p w:rsidR="00FC073C" w:rsidRPr="00020763" w:rsidRDefault="001C163B" w:rsidP="00020763">
      <w:pPr>
        <w:shd w:val="clear" w:color="auto" w:fill="FFFFFF" w:themeFill="background1"/>
        <w:ind w:firstLine="567"/>
        <w:rPr>
          <w:lang w:eastAsia="ru-RU"/>
        </w:rPr>
      </w:pPr>
      <w:r w:rsidRPr="00020763">
        <w:rPr>
          <w:bCs/>
        </w:rPr>
        <w:t>дозвіл (згода) власника звіту</w:t>
      </w:r>
      <w:r w:rsidRPr="00020763">
        <w:t xml:space="preserve"> </w:t>
      </w:r>
      <w:r w:rsidRPr="00020763">
        <w:rPr>
          <w:lang w:eastAsia="ru-RU"/>
        </w:rPr>
        <w:t>СОД</w:t>
      </w:r>
      <w:r w:rsidR="007D56E8" w:rsidRPr="00020763">
        <w:rPr>
          <w:lang w:eastAsia="ru-RU"/>
        </w:rPr>
        <w:t xml:space="preserve"> (</w:t>
      </w:r>
      <w:r w:rsidR="0073452A" w:rsidRPr="00020763">
        <w:rPr>
          <w:bCs/>
        </w:rPr>
        <w:t>крім звіту</w:t>
      </w:r>
      <w:r w:rsidR="007D56E8" w:rsidRPr="00020763">
        <w:rPr>
          <w:bCs/>
        </w:rPr>
        <w:t xml:space="preserve"> </w:t>
      </w:r>
      <w:r w:rsidR="007D56E8" w:rsidRPr="00020763">
        <w:t>з експертної грошової оцінки земельної ділянки</w:t>
      </w:r>
      <w:r w:rsidR="007D56E8" w:rsidRPr="00020763">
        <w:rPr>
          <w:bCs/>
        </w:rPr>
        <w:t>)</w:t>
      </w:r>
      <w:r w:rsidRPr="00020763">
        <w:rPr>
          <w:lang w:eastAsia="ru-RU"/>
        </w:rPr>
        <w:t xml:space="preserve"> на </w:t>
      </w:r>
      <w:r w:rsidRPr="00020763">
        <w:rPr>
          <w:bCs/>
        </w:rPr>
        <w:t xml:space="preserve">передавання </w:t>
      </w:r>
      <w:r w:rsidRPr="00020763">
        <w:t xml:space="preserve">звіту </w:t>
      </w:r>
      <w:r w:rsidR="00497654" w:rsidRPr="00020763">
        <w:t xml:space="preserve">СОД на рецензування </w:t>
      </w:r>
      <w:r w:rsidRPr="00020763">
        <w:t xml:space="preserve">до ФДМУ </w:t>
      </w:r>
      <w:r w:rsidR="00FC073C" w:rsidRPr="00020763">
        <w:rPr>
          <w:bCs/>
        </w:rPr>
        <w:t>(за</w:t>
      </w:r>
      <w:r w:rsidR="0095703C" w:rsidRPr="00020763">
        <w:rPr>
          <w:shd w:val="clear" w:color="auto" w:fill="FFFFFF"/>
          <w:lang w:eastAsia="ru-RU"/>
        </w:rPr>
        <w:t> </w:t>
      </w:r>
      <w:r w:rsidR="00FC073C" w:rsidRPr="00020763">
        <w:rPr>
          <w:bCs/>
        </w:rPr>
        <w:t xml:space="preserve"> форматами, </w:t>
      </w:r>
      <w:r w:rsidR="00D80053" w:rsidRPr="00020763">
        <w:rPr>
          <w:bCs/>
        </w:rPr>
        <w:t xml:space="preserve">установленими в </w:t>
      </w:r>
      <w:r w:rsidR="00FC073C" w:rsidRPr="00020763">
        <w:rPr>
          <w:bCs/>
        </w:rPr>
        <w:t>Технічному завданні)</w:t>
      </w:r>
      <w:r w:rsidRPr="00020763">
        <w:rPr>
          <w:bCs/>
        </w:rPr>
        <w:t>;</w:t>
      </w:r>
    </w:p>
    <w:p w:rsidR="00FC073C" w:rsidRPr="00020763" w:rsidRDefault="00FC073C" w:rsidP="00020763">
      <w:pPr>
        <w:pStyle w:val="ab"/>
        <w:shd w:val="clear" w:color="auto" w:fill="FFFFFF" w:themeFill="background1"/>
        <w:ind w:firstLine="567"/>
        <w:rPr>
          <w:lang w:eastAsia="ru-RU"/>
        </w:rPr>
      </w:pPr>
    </w:p>
    <w:p w:rsidR="004F05EB" w:rsidRPr="00020763" w:rsidRDefault="00BE63BE" w:rsidP="00020763">
      <w:pPr>
        <w:pStyle w:val="xmsolistparagraph"/>
        <w:shd w:val="clear" w:color="auto" w:fill="FFFFFF" w:themeFill="background1"/>
        <w:spacing w:before="0" w:beforeAutospacing="0" w:after="0" w:afterAutospacing="0"/>
        <w:ind w:firstLine="567"/>
        <w:jc w:val="both"/>
        <w:rPr>
          <w:sz w:val="28"/>
          <w:szCs w:val="28"/>
          <w:shd w:val="clear" w:color="auto" w:fill="FFFFFF"/>
          <w:lang w:eastAsia="ru-RU"/>
        </w:rPr>
      </w:pPr>
      <w:r w:rsidRPr="00020763">
        <w:rPr>
          <w:sz w:val="28"/>
          <w:szCs w:val="28"/>
          <w:shd w:val="clear" w:color="auto" w:fill="FFFFFF"/>
          <w:lang w:eastAsia="ru-RU"/>
        </w:rPr>
        <w:t xml:space="preserve">2) </w:t>
      </w:r>
      <w:r w:rsidR="00E66142" w:rsidRPr="00020763">
        <w:rPr>
          <w:sz w:val="28"/>
          <w:szCs w:val="28"/>
          <w:shd w:val="clear" w:color="auto" w:fill="FFFFFF"/>
          <w:lang w:eastAsia="ru-RU"/>
        </w:rPr>
        <w:t>у разі здійснення оцінки майна оцінювачем майна </w:t>
      </w:r>
      <w:r w:rsidR="003F0F3F" w:rsidRPr="00020763">
        <w:rPr>
          <w:sz w:val="28"/>
          <w:szCs w:val="28"/>
          <w:shd w:val="clear" w:color="auto" w:fill="FFFFFF"/>
          <w:lang w:eastAsia="ru-RU"/>
        </w:rPr>
        <w:t>–</w:t>
      </w:r>
      <w:r w:rsidR="00D80053" w:rsidRPr="00020763">
        <w:rPr>
          <w:sz w:val="28"/>
          <w:szCs w:val="28"/>
          <w:shd w:val="clear" w:color="auto" w:fill="FFFFFF"/>
          <w:lang w:eastAsia="ru-RU"/>
        </w:rPr>
        <w:t> </w:t>
      </w:r>
      <w:r w:rsidR="00E66142" w:rsidRPr="00020763">
        <w:rPr>
          <w:sz w:val="28"/>
          <w:szCs w:val="28"/>
          <w:shd w:val="clear" w:color="auto" w:fill="FFFFFF"/>
          <w:lang w:eastAsia="ru-RU"/>
        </w:rPr>
        <w:t>працівником банку</w:t>
      </w:r>
      <w:r w:rsidR="0080317C" w:rsidRPr="00020763">
        <w:rPr>
          <w:sz w:val="28"/>
          <w:szCs w:val="28"/>
          <w:shd w:val="clear" w:color="auto" w:fill="FFFFFF"/>
          <w:lang w:eastAsia="ru-RU"/>
        </w:rPr>
        <w:t xml:space="preserve"> </w:t>
      </w:r>
      <w:r w:rsidR="004F05EB" w:rsidRPr="00020763">
        <w:rPr>
          <w:sz w:val="28"/>
          <w:szCs w:val="28"/>
          <w:shd w:val="clear" w:color="auto" w:fill="FFFFFF"/>
          <w:lang w:eastAsia="ru-RU"/>
        </w:rPr>
        <w:t xml:space="preserve">– </w:t>
      </w:r>
      <w:r w:rsidRPr="00020763">
        <w:rPr>
          <w:sz w:val="28"/>
          <w:szCs w:val="28"/>
          <w:shd w:val="clear" w:color="auto" w:fill="FFFFFF"/>
          <w:lang w:eastAsia="ru-RU"/>
        </w:rPr>
        <w:t>внутрішньобанківський документ про оцінку майна</w:t>
      </w:r>
      <w:r w:rsidR="004F05EB" w:rsidRPr="00020763">
        <w:rPr>
          <w:sz w:val="28"/>
          <w:szCs w:val="28"/>
          <w:shd w:val="clear" w:color="auto" w:fill="FFFFFF"/>
          <w:lang w:eastAsia="ru-RU"/>
        </w:rPr>
        <w:t>,</w:t>
      </w:r>
      <w:r w:rsidR="0080317C" w:rsidRPr="00020763">
        <w:rPr>
          <w:sz w:val="28"/>
          <w:szCs w:val="28"/>
          <w:shd w:val="clear" w:color="auto" w:fill="FFFFFF"/>
          <w:lang w:eastAsia="ru-RU"/>
        </w:rPr>
        <w:t xml:space="preserve"> </w:t>
      </w:r>
      <w:r w:rsidR="006A3BEB" w:rsidRPr="00020763">
        <w:rPr>
          <w:sz w:val="28"/>
          <w:szCs w:val="28"/>
          <w:shd w:val="clear" w:color="auto" w:fill="FFFFFF"/>
          <w:lang w:eastAsia="ru-RU"/>
        </w:rPr>
        <w:t xml:space="preserve">інші документи </w:t>
      </w:r>
      <w:r w:rsidR="004F05EB" w:rsidRPr="00020763">
        <w:rPr>
          <w:sz w:val="28"/>
          <w:szCs w:val="28"/>
          <w:shd w:val="clear" w:color="auto" w:fill="FFFFFF"/>
          <w:lang w:eastAsia="ru-RU"/>
        </w:rPr>
        <w:t>щодо оцінки майна</w:t>
      </w:r>
      <w:r w:rsidR="006A3BEB" w:rsidRPr="00020763">
        <w:rPr>
          <w:sz w:val="28"/>
          <w:szCs w:val="28"/>
          <w:shd w:val="clear" w:color="auto" w:fill="FFFFFF"/>
          <w:lang w:eastAsia="ru-RU"/>
        </w:rPr>
        <w:t>, складені</w:t>
      </w:r>
      <w:r w:rsidR="0003128F" w:rsidRPr="00020763">
        <w:rPr>
          <w:sz w:val="28"/>
          <w:szCs w:val="28"/>
          <w:shd w:val="clear" w:color="auto" w:fill="FFFFFF"/>
          <w:lang w:eastAsia="ru-RU"/>
        </w:rPr>
        <w:t xml:space="preserve"> відповідно до </w:t>
      </w:r>
      <w:r w:rsidR="006A3BEB" w:rsidRPr="00020763">
        <w:rPr>
          <w:sz w:val="28"/>
          <w:szCs w:val="28"/>
          <w:shd w:val="clear" w:color="auto" w:fill="FFFFFF"/>
          <w:lang w:eastAsia="ru-RU"/>
        </w:rPr>
        <w:t xml:space="preserve">вимог </w:t>
      </w:r>
      <w:r w:rsidRPr="00020763">
        <w:rPr>
          <w:sz w:val="28"/>
          <w:szCs w:val="28"/>
          <w:shd w:val="clear" w:color="auto" w:fill="FFFFFF"/>
          <w:lang w:eastAsia="ru-RU"/>
        </w:rPr>
        <w:t>законодав</w:t>
      </w:r>
      <w:r w:rsidR="00921D29" w:rsidRPr="00020763">
        <w:rPr>
          <w:sz w:val="28"/>
          <w:szCs w:val="28"/>
          <w:shd w:val="clear" w:color="auto" w:fill="FFFFFF"/>
          <w:lang w:eastAsia="ru-RU"/>
        </w:rPr>
        <w:t>ства України щодо оцінки майна</w:t>
      </w:r>
      <w:r w:rsidR="004F05EB" w:rsidRPr="00020763">
        <w:rPr>
          <w:sz w:val="28"/>
          <w:szCs w:val="28"/>
        </w:rPr>
        <w:t xml:space="preserve">, та </w:t>
      </w:r>
      <w:r w:rsidR="004F05EB" w:rsidRPr="00020763">
        <w:rPr>
          <w:sz w:val="28"/>
          <w:szCs w:val="28"/>
          <w:shd w:val="clear" w:color="auto" w:fill="FFFFFF"/>
          <w:lang w:eastAsia="ru-RU"/>
        </w:rPr>
        <w:t>інші документи</w:t>
      </w:r>
      <w:r w:rsidR="006B1EB8" w:rsidRPr="00020763">
        <w:rPr>
          <w:sz w:val="28"/>
          <w:szCs w:val="28"/>
          <w:shd w:val="clear" w:color="auto" w:fill="FFFFFF"/>
          <w:lang w:eastAsia="ru-RU"/>
        </w:rPr>
        <w:t>/</w:t>
      </w:r>
      <w:r w:rsidR="004F05EB" w:rsidRPr="00020763">
        <w:rPr>
          <w:sz w:val="28"/>
          <w:szCs w:val="28"/>
          <w:shd w:val="clear" w:color="auto" w:fill="FFFFFF"/>
          <w:lang w:eastAsia="ru-RU"/>
        </w:rPr>
        <w:t>інформацію, що підтверджують ринкову (справедливу) вартість застави, включаючи:</w:t>
      </w:r>
    </w:p>
    <w:p w:rsidR="00EA1D25" w:rsidRPr="00020763" w:rsidRDefault="00EA1D25" w:rsidP="00020763">
      <w:pPr>
        <w:ind w:firstLine="567"/>
        <w:rPr>
          <w:shd w:val="clear" w:color="auto" w:fill="FFFFFF"/>
          <w:lang w:eastAsia="ru-RU"/>
        </w:rPr>
      </w:pPr>
      <w:r w:rsidRPr="00020763">
        <w:rPr>
          <w:shd w:val="clear" w:color="auto" w:fill="FFFFFF"/>
          <w:lang w:eastAsia="ru-RU"/>
        </w:rPr>
        <w:t>опис об</w:t>
      </w:r>
      <w:r w:rsidR="00B32228" w:rsidRPr="00020763">
        <w:rPr>
          <w:bCs/>
        </w:rPr>
        <w:t>’</w:t>
      </w:r>
      <w:r w:rsidRPr="00020763">
        <w:rPr>
          <w:shd w:val="clear" w:color="auto" w:fill="FFFFFF"/>
          <w:lang w:eastAsia="ru-RU"/>
        </w:rPr>
        <w:t>єкта оцінки, який дає змогу його ідентифікувати (</w:t>
      </w:r>
      <w:r w:rsidR="00E66142" w:rsidRPr="00020763">
        <w:rPr>
          <w:shd w:val="clear" w:color="auto" w:fill="FFFFFF"/>
          <w:lang w:eastAsia="ru-RU"/>
        </w:rPr>
        <w:t>включаючи</w:t>
      </w:r>
      <w:r w:rsidRPr="00020763">
        <w:rPr>
          <w:shd w:val="clear" w:color="auto" w:fill="FFFFFF"/>
          <w:lang w:eastAsia="ru-RU"/>
        </w:rPr>
        <w:t xml:space="preserve"> фотоматеріали, за наявності);</w:t>
      </w:r>
    </w:p>
    <w:p w:rsidR="00EA1D25" w:rsidRPr="00020763" w:rsidRDefault="00EA1D25" w:rsidP="00020763">
      <w:pPr>
        <w:ind w:firstLine="567"/>
        <w:rPr>
          <w:shd w:val="clear" w:color="auto" w:fill="FFFFFF"/>
          <w:lang w:eastAsia="ru-RU"/>
        </w:rPr>
      </w:pPr>
      <w:r w:rsidRPr="00020763">
        <w:rPr>
          <w:shd w:val="clear" w:color="auto" w:fill="FFFFFF"/>
          <w:lang w:eastAsia="ru-RU"/>
        </w:rPr>
        <w:t>виклад змісту застосованих методичних підходів, методів та оціночних процедур, а також відповідних розрахунків (</w:t>
      </w:r>
      <w:r w:rsidR="00E66142" w:rsidRPr="00020763">
        <w:rPr>
          <w:shd w:val="clear" w:color="auto" w:fill="FFFFFF"/>
          <w:lang w:eastAsia="ru-RU"/>
        </w:rPr>
        <w:t>включаючи</w:t>
      </w:r>
      <w:r w:rsidRPr="00020763">
        <w:rPr>
          <w:shd w:val="clear" w:color="auto" w:fill="FFFFFF"/>
          <w:lang w:eastAsia="ru-RU"/>
        </w:rPr>
        <w:t xml:space="preserve"> електронні таблиці, що містять розрахунки</w:t>
      </w:r>
      <w:r w:rsidR="00E66142" w:rsidRPr="00020763">
        <w:rPr>
          <w:shd w:val="clear" w:color="auto" w:fill="FFFFFF"/>
          <w:lang w:eastAsia="ru-RU"/>
        </w:rPr>
        <w:t>, за наявності</w:t>
      </w:r>
      <w:r w:rsidRPr="00020763">
        <w:rPr>
          <w:shd w:val="clear" w:color="auto" w:fill="FFFFFF"/>
          <w:lang w:eastAsia="ru-RU"/>
        </w:rPr>
        <w:t>), за допомогою яких підготовлено висновок про вартість майна;</w:t>
      </w:r>
    </w:p>
    <w:p w:rsidR="00EA1D25" w:rsidRPr="00020763" w:rsidRDefault="00EA1D25" w:rsidP="00020763">
      <w:pPr>
        <w:ind w:firstLine="567"/>
        <w:rPr>
          <w:shd w:val="clear" w:color="auto" w:fill="FFFFFF"/>
          <w:lang w:eastAsia="ru-RU"/>
        </w:rPr>
      </w:pPr>
      <w:r w:rsidRPr="00020763">
        <w:rPr>
          <w:shd w:val="clear" w:color="auto" w:fill="FFFFFF"/>
          <w:lang w:eastAsia="ru-RU"/>
        </w:rPr>
        <w:t>копії (скан</w:t>
      </w:r>
      <w:r w:rsidR="00D80053" w:rsidRPr="00020763">
        <w:rPr>
          <w:shd w:val="clear" w:color="auto" w:fill="FFFFFF"/>
          <w:lang w:eastAsia="ru-RU"/>
        </w:rPr>
        <w:t xml:space="preserve">овані </w:t>
      </w:r>
      <w:r w:rsidRPr="00020763">
        <w:rPr>
          <w:shd w:val="clear" w:color="auto" w:fill="FFFFFF"/>
          <w:lang w:eastAsia="ru-RU"/>
        </w:rPr>
        <w:t xml:space="preserve">копії) кваліфікаційних </w:t>
      </w:r>
      <w:proofErr w:type="spellStart"/>
      <w:r w:rsidRPr="00020763">
        <w:rPr>
          <w:shd w:val="clear" w:color="auto" w:fill="FFFFFF"/>
          <w:lang w:eastAsia="ru-RU"/>
        </w:rPr>
        <w:t>свідоцтв</w:t>
      </w:r>
      <w:proofErr w:type="spellEnd"/>
      <w:r w:rsidRPr="00020763">
        <w:rPr>
          <w:shd w:val="clear" w:color="auto" w:fill="FFFFFF"/>
          <w:lang w:eastAsia="ru-RU"/>
        </w:rPr>
        <w:t>, дані про пі</w:t>
      </w:r>
      <w:r w:rsidR="001F2ECE" w:rsidRPr="00020763">
        <w:rPr>
          <w:shd w:val="clear" w:color="auto" w:fill="FFFFFF"/>
          <w:lang w:eastAsia="ru-RU"/>
        </w:rPr>
        <w:t>двищення кваліфікації оцінювача</w:t>
      </w:r>
      <w:r w:rsidRPr="00020763">
        <w:rPr>
          <w:shd w:val="clear" w:color="auto" w:fill="FFFFFF"/>
          <w:lang w:eastAsia="ru-RU"/>
        </w:rPr>
        <w:t xml:space="preserve"> майна</w:t>
      </w:r>
      <w:bookmarkStart w:id="2" w:name="_Hlk129788167"/>
      <w:r w:rsidRPr="00020763">
        <w:rPr>
          <w:shd w:val="clear" w:color="auto" w:fill="FFFFFF"/>
          <w:lang w:eastAsia="ru-RU"/>
        </w:rPr>
        <w:t> </w:t>
      </w:r>
      <w:bookmarkEnd w:id="2"/>
      <w:r w:rsidR="003F0F3F" w:rsidRPr="00020763">
        <w:rPr>
          <w:shd w:val="clear" w:color="auto" w:fill="FFFFFF"/>
          <w:lang w:eastAsia="ru-RU"/>
        </w:rPr>
        <w:t>–</w:t>
      </w:r>
      <w:r w:rsidR="00D80053" w:rsidRPr="00020763">
        <w:rPr>
          <w:shd w:val="clear" w:color="auto" w:fill="FFFFFF"/>
          <w:lang w:eastAsia="ru-RU"/>
        </w:rPr>
        <w:t> </w:t>
      </w:r>
      <w:r w:rsidR="001F2ECE" w:rsidRPr="00020763">
        <w:rPr>
          <w:shd w:val="clear" w:color="auto" w:fill="FFFFFF"/>
          <w:lang w:eastAsia="ru-RU"/>
        </w:rPr>
        <w:t>працівника</w:t>
      </w:r>
      <w:r w:rsidRPr="00020763">
        <w:rPr>
          <w:shd w:val="clear" w:color="auto" w:fill="FFFFFF"/>
          <w:lang w:eastAsia="ru-RU"/>
        </w:rPr>
        <w:t xml:space="preserve"> банку. </w:t>
      </w:r>
    </w:p>
    <w:p w:rsidR="00D044EF" w:rsidRPr="00020763" w:rsidRDefault="00D044EF" w:rsidP="00020763">
      <w:pPr>
        <w:ind w:firstLine="567"/>
        <w:rPr>
          <w:shd w:val="clear" w:color="auto" w:fill="FFFFFF"/>
          <w:lang w:eastAsia="ru-RU"/>
        </w:rPr>
      </w:pPr>
      <w:r w:rsidRPr="00020763">
        <w:rPr>
          <w:lang w:eastAsia="ru-RU"/>
        </w:rPr>
        <w:t xml:space="preserve">Документи та інформація, що подаються банком для </w:t>
      </w:r>
      <w:r w:rsidR="00E23675" w:rsidRPr="00020763">
        <w:rPr>
          <w:lang w:eastAsia="ru-RU"/>
        </w:rPr>
        <w:t>перевірки оцінки вартості</w:t>
      </w:r>
      <w:r w:rsidRPr="00020763">
        <w:rPr>
          <w:lang w:eastAsia="ru-RU"/>
        </w:rPr>
        <w:t xml:space="preserve"> майна, мають відповідати даним бухгалтерського обліку станом на звітну дату.</w:t>
      </w:r>
    </w:p>
    <w:p w:rsidR="00BA278D" w:rsidRPr="00020763" w:rsidRDefault="00BA278D" w:rsidP="00020763">
      <w:pPr>
        <w:pStyle w:val="xmsolistparagraph"/>
        <w:shd w:val="clear" w:color="auto" w:fill="FFFFFF" w:themeFill="background1"/>
        <w:spacing w:before="0" w:beforeAutospacing="0" w:after="0" w:afterAutospacing="0"/>
        <w:ind w:firstLine="567"/>
        <w:jc w:val="both"/>
        <w:rPr>
          <w:sz w:val="28"/>
          <w:szCs w:val="28"/>
          <w:lang w:eastAsia="ru-RU"/>
        </w:rPr>
      </w:pPr>
    </w:p>
    <w:p w:rsidR="007E6830" w:rsidRPr="00020763" w:rsidRDefault="00E52204" w:rsidP="00020763">
      <w:pPr>
        <w:pStyle w:val="xmsolistparagraph"/>
        <w:shd w:val="clear" w:color="auto" w:fill="FFFFFF"/>
        <w:spacing w:before="0" w:beforeAutospacing="0" w:after="0" w:afterAutospacing="0"/>
        <w:ind w:firstLine="567"/>
        <w:jc w:val="both"/>
        <w:rPr>
          <w:sz w:val="28"/>
          <w:szCs w:val="28"/>
        </w:rPr>
      </w:pPr>
      <w:r w:rsidRPr="00020763">
        <w:rPr>
          <w:sz w:val="28"/>
          <w:szCs w:val="28"/>
        </w:rPr>
        <w:t>1</w:t>
      </w:r>
      <w:r w:rsidR="004455F4" w:rsidRPr="00020763">
        <w:rPr>
          <w:sz w:val="28"/>
          <w:szCs w:val="28"/>
        </w:rPr>
        <w:t>7</w:t>
      </w:r>
      <w:r w:rsidR="008D0BD8" w:rsidRPr="00020763">
        <w:rPr>
          <w:sz w:val="28"/>
          <w:szCs w:val="28"/>
        </w:rPr>
        <w:t xml:space="preserve">. </w:t>
      </w:r>
      <w:r w:rsidR="00A93617" w:rsidRPr="00020763">
        <w:rPr>
          <w:sz w:val="28"/>
          <w:szCs w:val="28"/>
          <w:lang w:eastAsia="ru-RU"/>
        </w:rPr>
        <w:t>Національний банк з</w:t>
      </w:r>
      <w:r w:rsidR="007E6830" w:rsidRPr="00020763">
        <w:rPr>
          <w:sz w:val="28"/>
          <w:szCs w:val="28"/>
        </w:rPr>
        <w:t xml:space="preserve">а результатами верифікації </w:t>
      </w:r>
      <w:r w:rsidR="008D0BD8" w:rsidRPr="00020763">
        <w:rPr>
          <w:sz w:val="28"/>
          <w:szCs w:val="28"/>
          <w:lang w:eastAsia="ru-RU"/>
        </w:rPr>
        <w:t>звіту</w:t>
      </w:r>
      <w:r w:rsidR="008D0BD8" w:rsidRPr="00020763">
        <w:rPr>
          <w:sz w:val="28"/>
          <w:szCs w:val="28"/>
        </w:rPr>
        <w:t xml:space="preserve"> </w:t>
      </w:r>
      <w:r w:rsidR="008D0BD8" w:rsidRPr="00020763">
        <w:rPr>
          <w:sz w:val="28"/>
          <w:szCs w:val="28"/>
          <w:lang w:eastAsia="ru-RU"/>
        </w:rPr>
        <w:t>СОД/</w:t>
      </w:r>
      <w:r w:rsidR="0093240B" w:rsidRPr="00020763">
        <w:rPr>
          <w:sz w:val="28"/>
          <w:szCs w:val="28"/>
          <w:lang w:eastAsia="ru-RU"/>
        </w:rPr>
        <w:t xml:space="preserve"> </w:t>
      </w:r>
      <w:r w:rsidR="0073452A" w:rsidRPr="00020763">
        <w:rPr>
          <w:sz w:val="28"/>
          <w:szCs w:val="28"/>
          <w:lang w:eastAsia="ru-RU"/>
        </w:rPr>
        <w:t>внутрішньобанківського документа</w:t>
      </w:r>
      <w:r w:rsidR="008D0BD8" w:rsidRPr="00020763">
        <w:rPr>
          <w:sz w:val="28"/>
          <w:szCs w:val="28"/>
          <w:lang w:eastAsia="ru-RU"/>
        </w:rPr>
        <w:t xml:space="preserve"> про оцінку майна </w:t>
      </w:r>
      <w:r w:rsidR="00647020" w:rsidRPr="00020763">
        <w:rPr>
          <w:sz w:val="28"/>
          <w:szCs w:val="28"/>
        </w:rPr>
        <w:t>робить</w:t>
      </w:r>
      <w:r w:rsidR="007E6830" w:rsidRPr="00020763">
        <w:rPr>
          <w:sz w:val="28"/>
          <w:szCs w:val="28"/>
        </w:rPr>
        <w:t xml:space="preserve"> висновок:</w:t>
      </w:r>
    </w:p>
    <w:p w:rsidR="007E6830" w:rsidRPr="00020763" w:rsidRDefault="007E6830" w:rsidP="00020763">
      <w:pPr>
        <w:pStyle w:val="xmsolistparagraph"/>
        <w:shd w:val="clear" w:color="auto" w:fill="FFFFFF"/>
        <w:spacing w:before="0" w:beforeAutospacing="0" w:after="0" w:afterAutospacing="0"/>
        <w:ind w:firstLine="567"/>
        <w:jc w:val="both"/>
        <w:rPr>
          <w:sz w:val="28"/>
          <w:szCs w:val="28"/>
        </w:rPr>
      </w:pPr>
    </w:p>
    <w:p w:rsidR="007E6830" w:rsidRPr="00020763" w:rsidRDefault="007E6830" w:rsidP="00020763">
      <w:pPr>
        <w:pStyle w:val="xmsolistparagraph"/>
        <w:shd w:val="clear" w:color="auto" w:fill="FFFFFF"/>
        <w:spacing w:before="0" w:beforeAutospacing="0" w:after="0" w:afterAutospacing="0"/>
        <w:ind w:firstLine="567"/>
        <w:jc w:val="both"/>
        <w:rPr>
          <w:sz w:val="28"/>
          <w:szCs w:val="28"/>
        </w:rPr>
      </w:pPr>
      <w:r w:rsidRPr="00020763">
        <w:rPr>
          <w:sz w:val="28"/>
          <w:szCs w:val="28"/>
        </w:rPr>
        <w:t>1) позитивний – якщо не виявлено недоліків або виявлені недоліки не</w:t>
      </w:r>
      <w:r w:rsidRPr="00020763">
        <w:rPr>
          <w:bCs/>
          <w:sz w:val="28"/>
          <w:szCs w:val="28"/>
          <w:lang w:eastAsia="ru-RU"/>
        </w:rPr>
        <w:t> </w:t>
      </w:r>
      <w:r w:rsidRPr="00020763">
        <w:rPr>
          <w:sz w:val="28"/>
          <w:szCs w:val="28"/>
        </w:rPr>
        <w:t xml:space="preserve"> вплинули на достовірність оцінки вартості майна (розбіжність мі</w:t>
      </w:r>
      <w:r w:rsidR="003D2D2B" w:rsidRPr="00020763">
        <w:rPr>
          <w:sz w:val="28"/>
          <w:szCs w:val="28"/>
        </w:rPr>
        <w:t>ж визначеною вартістю і середн</w:t>
      </w:r>
      <w:r w:rsidR="00922A8C" w:rsidRPr="00020763">
        <w:rPr>
          <w:sz w:val="28"/>
          <w:szCs w:val="28"/>
        </w:rPr>
        <w:t>ьою</w:t>
      </w:r>
      <w:r w:rsidRPr="00020763">
        <w:rPr>
          <w:sz w:val="28"/>
          <w:szCs w:val="28"/>
        </w:rPr>
        <w:t xml:space="preserve"> ринковою вартістю </w:t>
      </w:r>
      <w:r w:rsidR="003A40DB" w:rsidRPr="00020763">
        <w:rPr>
          <w:sz w:val="28"/>
          <w:szCs w:val="28"/>
        </w:rPr>
        <w:t xml:space="preserve">на дату складання звіту </w:t>
      </w:r>
      <w:r w:rsidR="003A40DB" w:rsidRPr="00020763">
        <w:rPr>
          <w:sz w:val="28"/>
          <w:szCs w:val="28"/>
          <w:lang w:eastAsia="ru-RU"/>
        </w:rPr>
        <w:t>СОД/</w:t>
      </w:r>
      <w:r w:rsidR="0073452A" w:rsidRPr="00020763">
        <w:rPr>
          <w:sz w:val="28"/>
          <w:szCs w:val="28"/>
          <w:lang w:eastAsia="ru-RU"/>
        </w:rPr>
        <w:t>внутрішньобанківського документа</w:t>
      </w:r>
      <w:r w:rsidR="003A40DB" w:rsidRPr="00020763">
        <w:rPr>
          <w:sz w:val="28"/>
          <w:szCs w:val="28"/>
          <w:lang w:eastAsia="ru-RU"/>
        </w:rPr>
        <w:t xml:space="preserve"> про оцінку майна</w:t>
      </w:r>
      <w:r w:rsidR="003A40DB" w:rsidRPr="00020763">
        <w:rPr>
          <w:sz w:val="28"/>
          <w:szCs w:val="28"/>
        </w:rPr>
        <w:t xml:space="preserve"> </w:t>
      </w:r>
      <w:r w:rsidRPr="00020763">
        <w:rPr>
          <w:sz w:val="28"/>
          <w:szCs w:val="28"/>
        </w:rPr>
        <w:t>не перевищує 10%);</w:t>
      </w:r>
    </w:p>
    <w:p w:rsidR="007E6830" w:rsidRPr="00020763" w:rsidRDefault="007E6830" w:rsidP="00020763">
      <w:pPr>
        <w:pStyle w:val="xmsolistparagraph"/>
        <w:shd w:val="clear" w:color="auto" w:fill="FFFFFF"/>
        <w:spacing w:before="0" w:beforeAutospacing="0" w:after="0" w:afterAutospacing="0"/>
        <w:ind w:firstLine="567"/>
        <w:jc w:val="both"/>
        <w:rPr>
          <w:sz w:val="28"/>
          <w:szCs w:val="28"/>
        </w:rPr>
      </w:pPr>
    </w:p>
    <w:p w:rsidR="007E6830" w:rsidRPr="00020763" w:rsidRDefault="007E6830" w:rsidP="00020763">
      <w:pPr>
        <w:ind w:firstLine="567"/>
      </w:pPr>
      <w:r w:rsidRPr="00020763">
        <w:t>2) негативний – якщо виявлені недоліки суттєво вплинули на достовірність оцінки вартості майна (визна</w:t>
      </w:r>
      <w:r w:rsidR="003D2D2B" w:rsidRPr="00020763">
        <w:t>чена вартість перевищує середн</w:t>
      </w:r>
      <w:r w:rsidRPr="00020763">
        <w:t>ю ринкову вартість</w:t>
      </w:r>
      <w:r w:rsidR="003A40DB" w:rsidRPr="00020763">
        <w:t xml:space="preserve"> на дату складання звіту</w:t>
      </w:r>
      <w:r w:rsidRPr="00020763">
        <w:t xml:space="preserve"> </w:t>
      </w:r>
      <w:r w:rsidR="003A40DB" w:rsidRPr="00020763">
        <w:rPr>
          <w:lang w:eastAsia="ru-RU"/>
        </w:rPr>
        <w:t>СОД/</w:t>
      </w:r>
      <w:r w:rsidR="0073452A" w:rsidRPr="00020763">
        <w:rPr>
          <w:lang w:eastAsia="ru-RU"/>
        </w:rPr>
        <w:t>внутрішньобанківського документа</w:t>
      </w:r>
      <w:r w:rsidR="003A40DB" w:rsidRPr="00020763">
        <w:rPr>
          <w:lang w:eastAsia="ru-RU"/>
        </w:rPr>
        <w:t xml:space="preserve"> про оцінку майна</w:t>
      </w:r>
      <w:r w:rsidR="003A40DB" w:rsidRPr="00020763">
        <w:t xml:space="preserve"> </w:t>
      </w:r>
      <w:r w:rsidRPr="00020763">
        <w:t>на 10% і більше).</w:t>
      </w:r>
    </w:p>
    <w:p w:rsidR="00A83EC2" w:rsidRPr="00020763" w:rsidRDefault="00A83EC2" w:rsidP="00020763">
      <w:pPr>
        <w:tabs>
          <w:tab w:val="left" w:pos="851"/>
        </w:tabs>
        <w:ind w:firstLine="567"/>
      </w:pPr>
    </w:p>
    <w:p w:rsidR="00647020" w:rsidRPr="00020763" w:rsidRDefault="00E52204" w:rsidP="00020763">
      <w:pPr>
        <w:tabs>
          <w:tab w:val="left" w:pos="851"/>
        </w:tabs>
        <w:ind w:firstLine="567"/>
      </w:pPr>
      <w:bookmarkStart w:id="3" w:name="_Hlk130297466"/>
      <w:r w:rsidRPr="00020763">
        <w:t>1</w:t>
      </w:r>
      <w:r w:rsidR="004455F4" w:rsidRPr="00020763">
        <w:t>8</w:t>
      </w:r>
      <w:r w:rsidR="00BC1A21" w:rsidRPr="00020763">
        <w:t xml:space="preserve">. </w:t>
      </w:r>
      <w:r w:rsidR="00647020" w:rsidRPr="00020763">
        <w:t xml:space="preserve">Національний банк у разі негативного висновку за результатами верифікації </w:t>
      </w:r>
      <w:r w:rsidR="00647020" w:rsidRPr="00020763">
        <w:rPr>
          <w:bCs/>
          <w:lang w:eastAsia="ru-RU"/>
        </w:rPr>
        <w:t>звіту</w:t>
      </w:r>
      <w:r w:rsidR="00647020" w:rsidRPr="00020763">
        <w:rPr>
          <w:bCs/>
        </w:rPr>
        <w:t xml:space="preserve"> </w:t>
      </w:r>
      <w:r w:rsidR="00647020" w:rsidRPr="00020763">
        <w:rPr>
          <w:bCs/>
          <w:lang w:eastAsia="ru-RU"/>
        </w:rPr>
        <w:t>СОД/</w:t>
      </w:r>
      <w:r w:rsidR="00CF238C" w:rsidRPr="00020763">
        <w:rPr>
          <w:bCs/>
          <w:lang w:eastAsia="ru-RU"/>
        </w:rPr>
        <w:t>внутрішньобанківського документа</w:t>
      </w:r>
      <w:r w:rsidR="00647020" w:rsidRPr="00020763">
        <w:rPr>
          <w:bCs/>
          <w:lang w:eastAsia="ru-RU"/>
        </w:rPr>
        <w:t xml:space="preserve"> про оцінку майна</w:t>
      </w:r>
      <w:r w:rsidR="00CE338C" w:rsidRPr="00020763">
        <w:t xml:space="preserve"> повідомляє про це банк</w:t>
      </w:r>
      <w:r w:rsidR="00647020" w:rsidRPr="00020763">
        <w:rPr>
          <w:bCs/>
          <w:lang w:eastAsia="ru-RU"/>
        </w:rPr>
        <w:t xml:space="preserve">. </w:t>
      </w:r>
    </w:p>
    <w:p w:rsidR="00647020" w:rsidRPr="00020763" w:rsidRDefault="00647020" w:rsidP="00020763">
      <w:pPr>
        <w:tabs>
          <w:tab w:val="left" w:pos="851"/>
        </w:tabs>
        <w:ind w:firstLine="567"/>
      </w:pPr>
    </w:p>
    <w:p w:rsidR="0074666A" w:rsidRPr="00020763" w:rsidRDefault="00647020" w:rsidP="00020763">
      <w:pPr>
        <w:tabs>
          <w:tab w:val="left" w:pos="851"/>
        </w:tabs>
        <w:ind w:firstLine="567"/>
      </w:pPr>
      <w:r w:rsidRPr="00020763">
        <w:t>1</w:t>
      </w:r>
      <w:r w:rsidR="004455F4" w:rsidRPr="00020763">
        <w:t>9</w:t>
      </w:r>
      <w:r w:rsidRPr="00020763">
        <w:t xml:space="preserve">. </w:t>
      </w:r>
      <w:r w:rsidR="00944CE0" w:rsidRPr="00020763">
        <w:t>Банк</w:t>
      </w:r>
      <w:r w:rsidR="00093694" w:rsidRPr="00020763">
        <w:t xml:space="preserve"> </w:t>
      </w:r>
      <w:r w:rsidR="00F007C5" w:rsidRPr="00020763">
        <w:t xml:space="preserve">у разі отримання </w:t>
      </w:r>
      <w:r w:rsidR="0095703C" w:rsidRPr="00020763">
        <w:t xml:space="preserve">від Національного банку </w:t>
      </w:r>
      <w:r w:rsidR="00D80C09" w:rsidRPr="00020763">
        <w:t>інформації</w:t>
      </w:r>
      <w:r w:rsidR="0095703C" w:rsidRPr="00020763">
        <w:t xml:space="preserve"> про </w:t>
      </w:r>
      <w:r w:rsidR="00F007C5" w:rsidRPr="00020763">
        <w:t>негативн</w:t>
      </w:r>
      <w:r w:rsidR="0095703C" w:rsidRPr="00020763">
        <w:t>ий</w:t>
      </w:r>
      <w:r w:rsidR="00F007C5" w:rsidRPr="00020763">
        <w:t xml:space="preserve"> виснов</w:t>
      </w:r>
      <w:r w:rsidR="0095703C" w:rsidRPr="00020763">
        <w:t>ок</w:t>
      </w:r>
      <w:r w:rsidR="00F007C5" w:rsidRPr="00020763">
        <w:t xml:space="preserve"> </w:t>
      </w:r>
      <w:r w:rsidR="00093694" w:rsidRPr="00020763">
        <w:t xml:space="preserve">за результатами верифікації </w:t>
      </w:r>
      <w:r w:rsidR="00093694" w:rsidRPr="00020763">
        <w:rPr>
          <w:bCs/>
          <w:lang w:eastAsia="ru-RU"/>
        </w:rPr>
        <w:t>звіту</w:t>
      </w:r>
      <w:r w:rsidR="00093694" w:rsidRPr="00020763">
        <w:rPr>
          <w:bCs/>
        </w:rPr>
        <w:t xml:space="preserve"> </w:t>
      </w:r>
      <w:r w:rsidR="00093694" w:rsidRPr="00020763">
        <w:rPr>
          <w:bCs/>
          <w:lang w:eastAsia="ru-RU"/>
        </w:rPr>
        <w:t>СОД/</w:t>
      </w:r>
      <w:r w:rsidR="0095703C" w:rsidRPr="00020763">
        <w:rPr>
          <w:bCs/>
          <w:lang w:eastAsia="ru-RU"/>
        </w:rPr>
        <w:t xml:space="preserve"> </w:t>
      </w:r>
      <w:r w:rsidR="00093694" w:rsidRPr="00020763">
        <w:rPr>
          <w:bCs/>
          <w:lang w:eastAsia="ru-RU"/>
        </w:rPr>
        <w:t>внутрішньобанківського документа про оцінку майна</w:t>
      </w:r>
      <w:r w:rsidR="009366AE" w:rsidRPr="00020763">
        <w:t xml:space="preserve"> </w:t>
      </w:r>
      <w:r w:rsidR="00B67EBE" w:rsidRPr="00020763">
        <w:t xml:space="preserve">під час здійснення </w:t>
      </w:r>
      <w:r w:rsidR="002D4C2E" w:rsidRPr="00020763">
        <w:t xml:space="preserve">позапланової </w:t>
      </w:r>
      <w:r w:rsidR="00B67EBE" w:rsidRPr="00020763">
        <w:t xml:space="preserve">інспекційної перевірки та </w:t>
      </w:r>
      <w:r w:rsidR="009366AE" w:rsidRPr="00020763">
        <w:t>протягом</w:t>
      </w:r>
      <w:r w:rsidR="0034162F" w:rsidRPr="00020763">
        <w:t xml:space="preserve"> 10 календар</w:t>
      </w:r>
      <w:r w:rsidR="00B67EBE" w:rsidRPr="00020763">
        <w:t>них</w:t>
      </w:r>
      <w:r w:rsidR="009366AE" w:rsidRPr="00020763">
        <w:t xml:space="preserve"> днів після </w:t>
      </w:r>
      <w:r w:rsidR="00B67EBE" w:rsidRPr="00020763">
        <w:t>її закінчення</w:t>
      </w:r>
      <w:r w:rsidR="00457772" w:rsidRPr="00020763">
        <w:t xml:space="preserve"> має</w:t>
      </w:r>
      <w:r w:rsidR="00922A8C" w:rsidRPr="00020763">
        <w:t xml:space="preserve"> </w:t>
      </w:r>
      <w:r w:rsidR="00457772" w:rsidRPr="00020763">
        <w:t xml:space="preserve">право </w:t>
      </w:r>
      <w:r w:rsidR="00CE338C" w:rsidRPr="00020763">
        <w:t>здійснити оцінку вартості майна станом на звітну дату</w:t>
      </w:r>
      <w:r w:rsidR="00606521" w:rsidRPr="00020763">
        <w:t xml:space="preserve"> та</w:t>
      </w:r>
      <w:r w:rsidR="00CE338C" w:rsidRPr="00020763">
        <w:t xml:space="preserve"> надати Національному банку</w:t>
      </w:r>
      <w:r w:rsidR="00CE338C" w:rsidRPr="00020763">
        <w:rPr>
          <w:bCs/>
          <w:lang w:eastAsia="ru-RU"/>
        </w:rPr>
        <w:t xml:space="preserve"> </w:t>
      </w:r>
      <w:r w:rsidR="00CE338C" w:rsidRPr="00020763">
        <w:t xml:space="preserve">на верифікацію </w:t>
      </w:r>
      <w:r w:rsidR="00CE338C" w:rsidRPr="00020763">
        <w:rPr>
          <w:bCs/>
          <w:lang w:eastAsia="ru-RU"/>
        </w:rPr>
        <w:t>звіт</w:t>
      </w:r>
      <w:r w:rsidR="00CE338C" w:rsidRPr="00020763">
        <w:rPr>
          <w:bCs/>
        </w:rPr>
        <w:t xml:space="preserve"> </w:t>
      </w:r>
      <w:r w:rsidR="00CE338C" w:rsidRPr="00020763">
        <w:rPr>
          <w:bCs/>
          <w:lang w:eastAsia="ru-RU"/>
        </w:rPr>
        <w:t>СОД/внутрішньобанківський документ про оцінку майна</w:t>
      </w:r>
      <w:r w:rsidR="004F0F87" w:rsidRPr="00020763">
        <w:rPr>
          <w:bCs/>
          <w:lang w:eastAsia="ru-RU"/>
        </w:rPr>
        <w:t>, складений</w:t>
      </w:r>
      <w:r w:rsidR="00606521" w:rsidRPr="00020763">
        <w:t xml:space="preserve"> </w:t>
      </w:r>
      <w:r w:rsidR="004F0F87" w:rsidRPr="00020763">
        <w:t xml:space="preserve">станом на звітну дату, </w:t>
      </w:r>
      <w:r w:rsidR="00606521" w:rsidRPr="00020763">
        <w:t>разом з інформацією</w:t>
      </w:r>
      <w:r w:rsidR="007E3AD9" w:rsidRPr="00020763">
        <w:t xml:space="preserve"> та документами, зазначеними </w:t>
      </w:r>
      <w:r w:rsidR="00D80053" w:rsidRPr="00020763">
        <w:t xml:space="preserve">в </w:t>
      </w:r>
      <w:r w:rsidR="007E3AD9" w:rsidRPr="00020763">
        <w:t>пункті 1</w:t>
      </w:r>
      <w:r w:rsidR="004455F4" w:rsidRPr="00020763">
        <w:t>6</w:t>
      </w:r>
      <w:r w:rsidR="007E3AD9" w:rsidRPr="00020763">
        <w:t xml:space="preserve"> </w:t>
      </w:r>
      <w:r w:rsidR="007E3AD9" w:rsidRPr="00020763">
        <w:rPr>
          <w:bCs/>
          <w:lang w:eastAsia="ru-RU"/>
        </w:rPr>
        <w:t>розділу ІІ</w:t>
      </w:r>
      <w:r w:rsidR="004455F4" w:rsidRPr="00020763">
        <w:rPr>
          <w:bCs/>
          <w:lang w:eastAsia="ru-RU"/>
        </w:rPr>
        <w:t>І</w:t>
      </w:r>
      <w:r w:rsidR="007E3AD9" w:rsidRPr="00020763">
        <w:rPr>
          <w:bCs/>
          <w:lang w:eastAsia="ru-RU"/>
        </w:rPr>
        <w:t xml:space="preserve"> цих Правил,</w:t>
      </w:r>
      <w:r w:rsidR="007E3AD9" w:rsidRPr="00020763">
        <w:t xml:space="preserve"> та </w:t>
      </w:r>
      <w:r w:rsidR="00457772" w:rsidRPr="00020763">
        <w:t>про відображення</w:t>
      </w:r>
      <w:r w:rsidR="00CE338C" w:rsidRPr="00020763">
        <w:t xml:space="preserve"> </w:t>
      </w:r>
      <w:r w:rsidR="00B61BF5" w:rsidRPr="00020763">
        <w:t>такої</w:t>
      </w:r>
      <w:r w:rsidR="00457772" w:rsidRPr="00020763">
        <w:t xml:space="preserve"> оцінки</w:t>
      </w:r>
      <w:r w:rsidR="00CE338C" w:rsidRPr="00020763">
        <w:t xml:space="preserve"> в бухгалтерському обліку</w:t>
      </w:r>
      <w:r w:rsidR="003C0F52" w:rsidRPr="00020763">
        <w:t>.</w:t>
      </w:r>
      <w:r w:rsidR="0074666A" w:rsidRPr="00020763">
        <w:t xml:space="preserve"> </w:t>
      </w:r>
    </w:p>
    <w:p w:rsidR="00CE338C" w:rsidRPr="00020763" w:rsidRDefault="0074666A" w:rsidP="00020763">
      <w:pPr>
        <w:tabs>
          <w:tab w:val="left" w:pos="851"/>
        </w:tabs>
        <w:ind w:firstLine="567"/>
      </w:pPr>
      <w:r w:rsidRPr="00020763">
        <w:t>Таким правом банк може скористатися одноразово.</w:t>
      </w:r>
    </w:p>
    <w:p w:rsidR="0074666A" w:rsidRPr="00020763" w:rsidRDefault="0074666A" w:rsidP="00020763">
      <w:pPr>
        <w:tabs>
          <w:tab w:val="left" w:pos="851"/>
        </w:tabs>
        <w:ind w:firstLine="567"/>
        <w:rPr>
          <w:bCs/>
          <w:strike/>
          <w:lang w:eastAsia="ru-RU"/>
        </w:rPr>
      </w:pPr>
      <w:r w:rsidRPr="00020763">
        <w:t xml:space="preserve">Національний банк у разі негативного висновку за результатами верифікації </w:t>
      </w:r>
      <w:r w:rsidRPr="00020763">
        <w:rPr>
          <w:bCs/>
          <w:lang w:eastAsia="ru-RU"/>
        </w:rPr>
        <w:t>звіту</w:t>
      </w:r>
      <w:r w:rsidRPr="00020763">
        <w:rPr>
          <w:bCs/>
        </w:rPr>
        <w:t xml:space="preserve"> </w:t>
      </w:r>
      <w:r w:rsidRPr="00020763">
        <w:rPr>
          <w:bCs/>
          <w:lang w:eastAsia="ru-RU"/>
        </w:rPr>
        <w:t>СОД/внутрішньобанківського документа про оцінку майна, складеного станом на звітну дату,</w:t>
      </w:r>
      <w:r w:rsidRPr="00020763">
        <w:t xml:space="preserve"> повідомляє про це банк.</w:t>
      </w:r>
    </w:p>
    <w:bookmarkEnd w:id="3"/>
    <w:p w:rsidR="00457772" w:rsidRPr="00020763" w:rsidRDefault="00457772" w:rsidP="00020763">
      <w:pPr>
        <w:tabs>
          <w:tab w:val="left" w:pos="851"/>
        </w:tabs>
        <w:ind w:firstLine="567"/>
        <w:rPr>
          <w:lang w:eastAsia="ru-RU"/>
        </w:rPr>
      </w:pPr>
    </w:p>
    <w:p w:rsidR="00491CF8" w:rsidRPr="00020763" w:rsidRDefault="004455F4" w:rsidP="00020763">
      <w:pPr>
        <w:tabs>
          <w:tab w:val="left" w:pos="851"/>
        </w:tabs>
        <w:ind w:firstLine="567"/>
        <w:rPr>
          <w:strike/>
          <w:lang w:eastAsia="ru-RU"/>
        </w:rPr>
      </w:pPr>
      <w:r w:rsidRPr="00020763">
        <w:rPr>
          <w:lang w:eastAsia="ru-RU"/>
        </w:rPr>
        <w:t>20</w:t>
      </w:r>
      <w:r w:rsidR="003C3E56" w:rsidRPr="00020763">
        <w:t xml:space="preserve">. Національний банк </w:t>
      </w:r>
      <w:r w:rsidR="003C3E56" w:rsidRPr="00020763">
        <w:rPr>
          <w:lang w:eastAsia="ru-RU"/>
        </w:rPr>
        <w:t xml:space="preserve">направляє </w:t>
      </w:r>
      <w:r w:rsidR="00B61BF5" w:rsidRPr="00020763">
        <w:rPr>
          <w:lang w:eastAsia="ru-RU"/>
        </w:rPr>
        <w:t>на рецензування до ФДМУ</w:t>
      </w:r>
      <w:r w:rsidR="00D524BE" w:rsidRPr="00020763">
        <w:rPr>
          <w:lang w:eastAsia="ru-RU"/>
        </w:rPr>
        <w:t xml:space="preserve"> </w:t>
      </w:r>
      <w:r w:rsidR="00CF238C" w:rsidRPr="00020763">
        <w:rPr>
          <w:lang w:eastAsia="ru-RU"/>
        </w:rPr>
        <w:t>звіт</w:t>
      </w:r>
      <w:r w:rsidR="00D524BE" w:rsidRPr="00020763">
        <w:rPr>
          <w:lang w:eastAsia="ru-RU"/>
        </w:rPr>
        <w:t xml:space="preserve"> СОД (</w:t>
      </w:r>
      <w:r w:rsidR="00D524BE" w:rsidRPr="00020763">
        <w:rPr>
          <w:bCs/>
        </w:rPr>
        <w:t xml:space="preserve">крім звіту про експертну </w:t>
      </w:r>
      <w:r w:rsidR="00D524BE" w:rsidRPr="00020763">
        <w:rPr>
          <w:lang w:eastAsia="ru-RU"/>
        </w:rPr>
        <w:t xml:space="preserve">грошову </w:t>
      </w:r>
      <w:r w:rsidR="00D524BE" w:rsidRPr="00020763">
        <w:rPr>
          <w:bCs/>
        </w:rPr>
        <w:t>оцінку земельних ділянок)</w:t>
      </w:r>
      <w:r w:rsidR="00491CF8" w:rsidRPr="00020763">
        <w:rPr>
          <w:lang w:eastAsia="ru-RU"/>
        </w:rPr>
        <w:t>:</w:t>
      </w:r>
    </w:p>
    <w:p w:rsidR="00524F7B" w:rsidRPr="00020763" w:rsidRDefault="00524F7B" w:rsidP="00020763">
      <w:pPr>
        <w:tabs>
          <w:tab w:val="left" w:pos="851"/>
        </w:tabs>
        <w:ind w:firstLine="567"/>
        <w:rPr>
          <w:lang w:eastAsia="ru-RU"/>
        </w:rPr>
      </w:pPr>
    </w:p>
    <w:p w:rsidR="00524F7B" w:rsidRPr="00020763" w:rsidRDefault="004F0F87" w:rsidP="0020103B">
      <w:pPr>
        <w:pStyle w:val="af3"/>
        <w:numPr>
          <w:ilvl w:val="0"/>
          <w:numId w:val="30"/>
        </w:numPr>
        <w:ind w:left="0" w:firstLine="567"/>
        <w:rPr>
          <w:lang w:eastAsia="ru-RU"/>
        </w:rPr>
      </w:pPr>
      <w:r w:rsidRPr="00020763">
        <w:rPr>
          <w:bCs/>
        </w:rPr>
        <w:t xml:space="preserve">за результатами верифікації </w:t>
      </w:r>
      <w:r w:rsidR="002E64AC" w:rsidRPr="00020763">
        <w:rPr>
          <w:lang w:eastAsia="ru-RU"/>
        </w:rPr>
        <w:t>якого</w:t>
      </w:r>
      <w:r w:rsidR="002E64AC" w:rsidRPr="00020763">
        <w:rPr>
          <w:bCs/>
        </w:rPr>
        <w:t xml:space="preserve"> Національний банк повідомив банк про</w:t>
      </w:r>
      <w:r w:rsidR="00B61BF5" w:rsidRPr="00020763">
        <w:rPr>
          <w:bCs/>
        </w:rPr>
        <w:t xml:space="preserve"> негативний висновок </w:t>
      </w:r>
      <w:r w:rsidR="00F07A22" w:rsidRPr="00020763">
        <w:rPr>
          <w:bCs/>
        </w:rPr>
        <w:t>і</w:t>
      </w:r>
      <w:r w:rsidR="00B61BF5" w:rsidRPr="00020763">
        <w:rPr>
          <w:bCs/>
        </w:rPr>
        <w:t xml:space="preserve"> </w:t>
      </w:r>
      <w:r w:rsidR="00273DEA" w:rsidRPr="00020763">
        <w:rPr>
          <w:lang w:eastAsia="ru-RU"/>
        </w:rPr>
        <w:t xml:space="preserve">банк </w:t>
      </w:r>
      <w:r w:rsidR="00B61BF5" w:rsidRPr="00020763">
        <w:rPr>
          <w:lang w:eastAsia="ru-RU"/>
        </w:rPr>
        <w:t>не скористався правом</w:t>
      </w:r>
      <w:r w:rsidR="00B61BF5" w:rsidRPr="00020763">
        <w:rPr>
          <w:bCs/>
          <w:lang w:eastAsia="ru-RU"/>
        </w:rPr>
        <w:t xml:space="preserve">, </w:t>
      </w:r>
      <w:r w:rsidR="003837B0" w:rsidRPr="00020763">
        <w:rPr>
          <w:bCs/>
          <w:lang w:eastAsia="ru-RU"/>
        </w:rPr>
        <w:t>передбаченим</w:t>
      </w:r>
      <w:r w:rsidR="00D524BE" w:rsidRPr="00020763">
        <w:rPr>
          <w:bCs/>
          <w:lang w:eastAsia="ru-RU"/>
        </w:rPr>
        <w:t xml:space="preserve"> </w:t>
      </w:r>
      <w:r w:rsidR="00D80053" w:rsidRPr="00020763">
        <w:rPr>
          <w:bCs/>
          <w:lang w:eastAsia="ru-RU"/>
        </w:rPr>
        <w:t xml:space="preserve">у </w:t>
      </w:r>
      <w:r w:rsidR="00B61BF5" w:rsidRPr="00020763">
        <w:rPr>
          <w:bCs/>
          <w:lang w:eastAsia="ru-RU"/>
        </w:rPr>
        <w:t>пункт</w:t>
      </w:r>
      <w:r w:rsidR="00D80053" w:rsidRPr="00020763">
        <w:rPr>
          <w:bCs/>
          <w:lang w:eastAsia="ru-RU"/>
        </w:rPr>
        <w:t>і</w:t>
      </w:r>
      <w:r w:rsidR="00273DEA" w:rsidRPr="00020763">
        <w:rPr>
          <w:bCs/>
          <w:lang w:eastAsia="ru-RU"/>
        </w:rPr>
        <w:t xml:space="preserve"> </w:t>
      </w:r>
      <w:r w:rsidR="00922A8C" w:rsidRPr="00020763">
        <w:rPr>
          <w:bCs/>
          <w:lang w:eastAsia="ru-RU"/>
        </w:rPr>
        <w:t>1</w:t>
      </w:r>
      <w:r w:rsidR="004455F4" w:rsidRPr="00020763">
        <w:rPr>
          <w:bCs/>
          <w:lang w:eastAsia="ru-RU"/>
        </w:rPr>
        <w:t>9</w:t>
      </w:r>
      <w:r w:rsidR="00273DEA" w:rsidRPr="00020763">
        <w:rPr>
          <w:bCs/>
          <w:lang w:eastAsia="ru-RU"/>
        </w:rPr>
        <w:t xml:space="preserve"> розділу ІІ</w:t>
      </w:r>
      <w:r w:rsidR="004455F4" w:rsidRPr="00020763">
        <w:rPr>
          <w:bCs/>
          <w:lang w:eastAsia="ru-RU"/>
        </w:rPr>
        <w:t>І</w:t>
      </w:r>
      <w:r w:rsidR="00273DEA" w:rsidRPr="00020763">
        <w:rPr>
          <w:bCs/>
          <w:lang w:eastAsia="ru-RU"/>
        </w:rPr>
        <w:t xml:space="preserve"> цих Правил;</w:t>
      </w:r>
    </w:p>
    <w:p w:rsidR="00273DEA" w:rsidRPr="00020763" w:rsidRDefault="00273DEA" w:rsidP="0020103B">
      <w:pPr>
        <w:pStyle w:val="af3"/>
        <w:ind w:left="0" w:firstLine="567"/>
        <w:rPr>
          <w:lang w:eastAsia="ru-RU"/>
        </w:rPr>
      </w:pPr>
    </w:p>
    <w:p w:rsidR="00570B8F" w:rsidRPr="00020763" w:rsidRDefault="003837B0" w:rsidP="0020103B">
      <w:pPr>
        <w:pStyle w:val="af3"/>
        <w:numPr>
          <w:ilvl w:val="0"/>
          <w:numId w:val="30"/>
        </w:numPr>
        <w:ind w:left="0" w:firstLine="567"/>
        <w:rPr>
          <w:lang w:eastAsia="ru-RU"/>
        </w:rPr>
      </w:pPr>
      <w:r w:rsidRPr="00020763">
        <w:rPr>
          <w:bCs/>
          <w:lang w:eastAsia="ru-RU"/>
        </w:rPr>
        <w:t>складений</w:t>
      </w:r>
      <w:r w:rsidRPr="00020763">
        <w:t xml:space="preserve"> станом на звітну дату,</w:t>
      </w:r>
      <w:r w:rsidRPr="00020763">
        <w:rPr>
          <w:bCs/>
        </w:rPr>
        <w:t xml:space="preserve"> наданий банком Національному банку на верифікацію згідно з </w:t>
      </w:r>
      <w:r w:rsidRPr="00020763">
        <w:rPr>
          <w:bCs/>
          <w:lang w:eastAsia="ru-RU"/>
        </w:rPr>
        <w:t xml:space="preserve">пунктом </w:t>
      </w:r>
      <w:r w:rsidR="00922A8C" w:rsidRPr="00020763">
        <w:rPr>
          <w:bCs/>
          <w:lang w:eastAsia="ru-RU"/>
        </w:rPr>
        <w:t>1</w:t>
      </w:r>
      <w:r w:rsidR="004455F4" w:rsidRPr="00020763">
        <w:rPr>
          <w:bCs/>
          <w:lang w:eastAsia="ru-RU"/>
        </w:rPr>
        <w:t>9</w:t>
      </w:r>
      <w:r w:rsidRPr="00020763">
        <w:rPr>
          <w:bCs/>
          <w:lang w:eastAsia="ru-RU"/>
        </w:rPr>
        <w:t xml:space="preserve"> розділу ІІ</w:t>
      </w:r>
      <w:r w:rsidR="004455F4" w:rsidRPr="00020763">
        <w:rPr>
          <w:bCs/>
          <w:lang w:eastAsia="ru-RU"/>
        </w:rPr>
        <w:t>І</w:t>
      </w:r>
      <w:r w:rsidRPr="00020763">
        <w:rPr>
          <w:bCs/>
          <w:lang w:eastAsia="ru-RU"/>
        </w:rPr>
        <w:t xml:space="preserve"> цих Правил,</w:t>
      </w:r>
      <w:r w:rsidR="00D80053" w:rsidRPr="00020763">
        <w:rPr>
          <w:bCs/>
          <w:lang w:eastAsia="ru-RU"/>
        </w:rPr>
        <w:t xml:space="preserve"> </w:t>
      </w:r>
      <w:r w:rsidR="002E64AC" w:rsidRPr="00020763">
        <w:rPr>
          <w:lang w:eastAsia="ru-RU"/>
        </w:rPr>
        <w:t xml:space="preserve">за результатами </w:t>
      </w:r>
      <w:r w:rsidR="0074666A" w:rsidRPr="00020763">
        <w:rPr>
          <w:lang w:eastAsia="ru-RU"/>
        </w:rPr>
        <w:t>якої</w:t>
      </w:r>
      <w:r w:rsidR="00B52D53" w:rsidRPr="00020763">
        <w:rPr>
          <w:lang w:eastAsia="ru-RU"/>
        </w:rPr>
        <w:t xml:space="preserve"> </w:t>
      </w:r>
      <w:r w:rsidR="002E64AC" w:rsidRPr="00020763">
        <w:rPr>
          <w:bCs/>
        </w:rPr>
        <w:t xml:space="preserve">Національний банк </w:t>
      </w:r>
      <w:r w:rsidR="00CF4956" w:rsidRPr="00020763">
        <w:rPr>
          <w:bCs/>
        </w:rPr>
        <w:t>зробив</w:t>
      </w:r>
      <w:r w:rsidR="00AF4D61" w:rsidRPr="00020763">
        <w:rPr>
          <w:bCs/>
        </w:rPr>
        <w:t xml:space="preserve"> негативний висновок.</w:t>
      </w:r>
    </w:p>
    <w:p w:rsidR="00570B8F" w:rsidRPr="00020763" w:rsidRDefault="00570B8F" w:rsidP="0020103B">
      <w:pPr>
        <w:shd w:val="clear" w:color="auto" w:fill="FFFFFF" w:themeFill="background1"/>
        <w:tabs>
          <w:tab w:val="left" w:pos="851"/>
        </w:tabs>
        <w:ind w:firstLine="567"/>
      </w:pPr>
      <w:r w:rsidRPr="00020763">
        <w:t xml:space="preserve">Національний банк направляє звіт СОД на рецензування до ФДМУ за наявності письмового </w:t>
      </w:r>
      <w:r w:rsidRPr="00020763">
        <w:rPr>
          <w:bCs/>
        </w:rPr>
        <w:t xml:space="preserve">дозволу (згоди) власника </w:t>
      </w:r>
      <w:r w:rsidRPr="00020763">
        <w:t xml:space="preserve">звіту СОД </w:t>
      </w:r>
      <w:r w:rsidRPr="00020763">
        <w:rPr>
          <w:bCs/>
        </w:rPr>
        <w:t>на рецензування ФДМУ</w:t>
      </w:r>
      <w:r w:rsidRPr="00020763">
        <w:t xml:space="preserve">. </w:t>
      </w:r>
    </w:p>
    <w:p w:rsidR="002E64AC" w:rsidRPr="00020763" w:rsidRDefault="002E64AC" w:rsidP="00020763">
      <w:pPr>
        <w:pStyle w:val="af3"/>
        <w:ind w:left="0" w:firstLine="567"/>
      </w:pPr>
    </w:p>
    <w:p w:rsidR="00922A8C" w:rsidRPr="00020763" w:rsidRDefault="004455F4" w:rsidP="00020763">
      <w:pPr>
        <w:tabs>
          <w:tab w:val="left" w:pos="993"/>
        </w:tabs>
        <w:ind w:firstLine="567"/>
      </w:pPr>
      <w:r w:rsidRPr="00020763">
        <w:rPr>
          <w:lang w:eastAsia="ru-RU"/>
        </w:rPr>
        <w:t>21</w:t>
      </w:r>
      <w:r w:rsidR="00922A8C" w:rsidRPr="00020763">
        <w:rPr>
          <w:lang w:eastAsia="ru-RU"/>
        </w:rPr>
        <w:t xml:space="preserve">. </w:t>
      </w:r>
      <w:r w:rsidR="00922A8C" w:rsidRPr="00020763">
        <w:t xml:space="preserve">Національний банк повідомляє банк про результати </w:t>
      </w:r>
      <w:r w:rsidR="00922A8C" w:rsidRPr="00020763">
        <w:rPr>
          <w:lang w:eastAsia="ru-RU"/>
        </w:rPr>
        <w:t>рецензування ФДМУ звіту СОД (</w:t>
      </w:r>
      <w:r w:rsidR="00922A8C" w:rsidRPr="00020763">
        <w:rPr>
          <w:bCs/>
        </w:rPr>
        <w:t xml:space="preserve">крім звіту про експертну </w:t>
      </w:r>
      <w:r w:rsidR="00922A8C" w:rsidRPr="00020763">
        <w:rPr>
          <w:lang w:eastAsia="ru-RU"/>
        </w:rPr>
        <w:t xml:space="preserve">грошову </w:t>
      </w:r>
      <w:r w:rsidR="00922A8C" w:rsidRPr="00020763">
        <w:rPr>
          <w:bCs/>
        </w:rPr>
        <w:t>оцінку земельних ділянок)</w:t>
      </w:r>
      <w:r w:rsidR="00922A8C" w:rsidRPr="00020763">
        <w:t>.</w:t>
      </w:r>
    </w:p>
    <w:p w:rsidR="00922A8C" w:rsidRPr="00020763" w:rsidRDefault="00922A8C" w:rsidP="00020763">
      <w:pPr>
        <w:pStyle w:val="af3"/>
        <w:ind w:left="0" w:firstLine="567"/>
      </w:pPr>
    </w:p>
    <w:p w:rsidR="00637457" w:rsidRPr="00020763" w:rsidRDefault="004455F4" w:rsidP="00020763">
      <w:pPr>
        <w:shd w:val="clear" w:color="auto" w:fill="FFFFFF" w:themeFill="background1"/>
        <w:tabs>
          <w:tab w:val="left" w:pos="851"/>
        </w:tabs>
        <w:ind w:firstLine="567"/>
        <w:rPr>
          <w:bCs/>
        </w:rPr>
      </w:pPr>
      <w:r w:rsidRPr="00020763">
        <w:rPr>
          <w:lang w:eastAsia="ru-RU"/>
        </w:rPr>
        <w:t>22</w:t>
      </w:r>
      <w:r w:rsidR="00637457" w:rsidRPr="00020763">
        <w:t xml:space="preserve">. </w:t>
      </w:r>
      <w:r w:rsidR="00637457" w:rsidRPr="00020763">
        <w:rPr>
          <w:bCs/>
        </w:rPr>
        <w:t xml:space="preserve">Національний банк </w:t>
      </w:r>
      <w:r w:rsidR="00637457" w:rsidRPr="00020763">
        <w:rPr>
          <w:lang w:eastAsia="ru-RU"/>
        </w:rPr>
        <w:t xml:space="preserve">за результатами </w:t>
      </w:r>
      <w:r w:rsidR="00637457" w:rsidRPr="00020763">
        <w:t xml:space="preserve">перевірки оцінки вартості майна </w:t>
      </w:r>
      <w:r w:rsidR="00637457" w:rsidRPr="00020763">
        <w:rPr>
          <w:bCs/>
        </w:rPr>
        <w:t xml:space="preserve">не враховує вартість майна під час розрахунку кредитного ризику, </w:t>
      </w:r>
      <w:r w:rsidR="00637457" w:rsidRPr="00020763">
        <w:rPr>
          <w:lang w:eastAsia="ru-RU"/>
        </w:rPr>
        <w:t xml:space="preserve">непокритого кредитного ризику, розміру </w:t>
      </w:r>
      <w:r w:rsidR="00F867F7" w:rsidRPr="00020763">
        <w:rPr>
          <w:lang w:eastAsia="ru-RU"/>
        </w:rPr>
        <w:t xml:space="preserve">регулятивного </w:t>
      </w:r>
      <w:r w:rsidR="00637457" w:rsidRPr="00020763">
        <w:rPr>
          <w:lang w:eastAsia="ru-RU"/>
        </w:rPr>
        <w:t xml:space="preserve">капіталу, </w:t>
      </w:r>
      <w:r w:rsidR="00F867F7" w:rsidRPr="00020763">
        <w:rPr>
          <w:lang w:eastAsia="ru-RU"/>
        </w:rPr>
        <w:t xml:space="preserve">основного </w:t>
      </w:r>
      <w:r w:rsidR="00637457" w:rsidRPr="00020763">
        <w:rPr>
          <w:lang w:eastAsia="ru-RU"/>
        </w:rPr>
        <w:t xml:space="preserve">капіталу, значень нормативів Н2 і Н3 у разі настання однієї або кількох </w:t>
      </w:r>
      <w:r w:rsidR="0020103B">
        <w:rPr>
          <w:lang w:eastAsia="ru-RU"/>
        </w:rPr>
        <w:t>і</w:t>
      </w:r>
      <w:r w:rsidR="00637457" w:rsidRPr="00020763">
        <w:rPr>
          <w:lang w:eastAsia="ru-RU"/>
        </w:rPr>
        <w:t>з нижче</w:t>
      </w:r>
      <w:r w:rsidR="0020103B">
        <w:rPr>
          <w:lang w:eastAsia="ru-RU"/>
        </w:rPr>
        <w:t>зазначених</w:t>
      </w:r>
      <w:r w:rsidR="00637457" w:rsidRPr="00020763">
        <w:rPr>
          <w:lang w:eastAsia="ru-RU"/>
        </w:rPr>
        <w:t xml:space="preserve"> умов</w:t>
      </w:r>
      <w:r w:rsidR="00637457" w:rsidRPr="00020763">
        <w:rPr>
          <w:bCs/>
        </w:rPr>
        <w:t>:</w:t>
      </w:r>
    </w:p>
    <w:p w:rsidR="00637457" w:rsidRPr="00020763" w:rsidRDefault="00637457" w:rsidP="00020763">
      <w:pPr>
        <w:shd w:val="clear" w:color="auto" w:fill="FFFFFF" w:themeFill="background1"/>
        <w:tabs>
          <w:tab w:val="left" w:pos="851"/>
        </w:tabs>
        <w:ind w:firstLine="567"/>
        <w:rPr>
          <w:bCs/>
        </w:rPr>
      </w:pPr>
    </w:p>
    <w:p w:rsidR="00637457" w:rsidRPr="00020763" w:rsidRDefault="00637457" w:rsidP="00020763">
      <w:pPr>
        <w:tabs>
          <w:tab w:val="left" w:pos="993"/>
        </w:tabs>
        <w:ind w:firstLine="567"/>
        <w:rPr>
          <w:shd w:val="clear" w:color="auto" w:fill="FFFFFF"/>
        </w:rPr>
      </w:pPr>
      <w:r w:rsidRPr="00020763">
        <w:rPr>
          <w:bCs/>
        </w:rPr>
        <w:t xml:space="preserve">1) </w:t>
      </w:r>
      <w:r w:rsidRPr="00020763">
        <w:rPr>
          <w:shd w:val="clear" w:color="auto" w:fill="FFFFFF"/>
        </w:rPr>
        <w:t>банк</w:t>
      </w:r>
      <w:r w:rsidR="00593AFB" w:rsidRPr="00020763">
        <w:rPr>
          <w:shd w:val="clear" w:color="auto" w:fill="FFFFFF"/>
        </w:rPr>
        <w:t xml:space="preserve"> не надав/</w:t>
      </w:r>
      <w:r w:rsidR="00564546" w:rsidRPr="00020763">
        <w:rPr>
          <w:shd w:val="clear" w:color="auto" w:fill="FFFFFF"/>
        </w:rPr>
        <w:t>надав</w:t>
      </w:r>
      <w:r w:rsidRPr="00020763">
        <w:rPr>
          <w:shd w:val="clear" w:color="auto" w:fill="FFFFFF"/>
        </w:rPr>
        <w:t xml:space="preserve"> </w:t>
      </w:r>
      <w:r w:rsidR="0020103B">
        <w:rPr>
          <w:shd w:val="clear" w:color="auto" w:fill="FFFFFF"/>
        </w:rPr>
        <w:t>у</w:t>
      </w:r>
      <w:r w:rsidR="00593AFB" w:rsidRPr="00020763">
        <w:rPr>
          <w:shd w:val="clear" w:color="auto" w:fill="FFFFFF"/>
        </w:rPr>
        <w:t xml:space="preserve"> недостатньому обсязі </w:t>
      </w:r>
      <w:r w:rsidRPr="00020763">
        <w:rPr>
          <w:shd w:val="clear" w:color="auto" w:fill="FFFFFF"/>
        </w:rPr>
        <w:t xml:space="preserve">документи/інформацію для здійснення </w:t>
      </w:r>
      <w:r w:rsidR="00593AFB" w:rsidRPr="00020763">
        <w:t>в</w:t>
      </w:r>
      <w:r w:rsidR="00593AFB" w:rsidRPr="00020763">
        <w:rPr>
          <w:bCs/>
        </w:rPr>
        <w:t xml:space="preserve">ерифікації </w:t>
      </w:r>
      <w:r w:rsidR="00593AFB" w:rsidRPr="00020763">
        <w:rPr>
          <w:bCs/>
          <w:lang w:eastAsia="ru-RU"/>
        </w:rPr>
        <w:t>звіту</w:t>
      </w:r>
      <w:r w:rsidR="00593AFB" w:rsidRPr="00020763">
        <w:rPr>
          <w:bCs/>
        </w:rPr>
        <w:t xml:space="preserve"> </w:t>
      </w:r>
      <w:r w:rsidR="00593AFB" w:rsidRPr="00020763">
        <w:rPr>
          <w:bCs/>
          <w:lang w:eastAsia="ru-RU"/>
        </w:rPr>
        <w:t>СОД/внутрішньобанківського документа про оцінку майна</w:t>
      </w:r>
      <w:r w:rsidRPr="00020763">
        <w:rPr>
          <w:shd w:val="clear" w:color="auto" w:fill="FFFFFF"/>
        </w:rPr>
        <w:t>;</w:t>
      </w:r>
    </w:p>
    <w:p w:rsidR="00593AFB" w:rsidRPr="00020763" w:rsidRDefault="00593AFB" w:rsidP="00020763">
      <w:pPr>
        <w:tabs>
          <w:tab w:val="left" w:pos="993"/>
        </w:tabs>
        <w:ind w:firstLine="567"/>
        <w:rPr>
          <w:bCs/>
        </w:rPr>
      </w:pPr>
    </w:p>
    <w:p w:rsidR="00637457" w:rsidRPr="00020763" w:rsidRDefault="00637457" w:rsidP="00020763">
      <w:pPr>
        <w:tabs>
          <w:tab w:val="left" w:pos="993"/>
        </w:tabs>
        <w:ind w:firstLine="567"/>
        <w:rPr>
          <w:bCs/>
          <w:lang w:eastAsia="ru-RU"/>
        </w:rPr>
      </w:pPr>
      <w:r w:rsidRPr="00020763">
        <w:rPr>
          <w:lang w:eastAsia="ru-RU"/>
        </w:rPr>
        <w:t xml:space="preserve">2) за результатами </w:t>
      </w:r>
      <w:r w:rsidRPr="00020763">
        <w:t>в</w:t>
      </w:r>
      <w:r w:rsidRPr="00020763">
        <w:rPr>
          <w:bCs/>
        </w:rPr>
        <w:t xml:space="preserve">ерифікації </w:t>
      </w:r>
      <w:r w:rsidRPr="00020763">
        <w:rPr>
          <w:bCs/>
          <w:lang w:eastAsia="ru-RU"/>
        </w:rPr>
        <w:t>звіту</w:t>
      </w:r>
      <w:r w:rsidRPr="00020763">
        <w:rPr>
          <w:bCs/>
        </w:rPr>
        <w:t xml:space="preserve"> </w:t>
      </w:r>
      <w:r w:rsidRPr="00020763">
        <w:rPr>
          <w:bCs/>
          <w:lang w:eastAsia="ru-RU"/>
        </w:rPr>
        <w:t>СОД/внутрішньобанківського документа про оцінку майна зроблено негативний висновок;</w:t>
      </w:r>
    </w:p>
    <w:p w:rsidR="00D07882" w:rsidRPr="00020763" w:rsidRDefault="00D07882" w:rsidP="00020763">
      <w:pPr>
        <w:tabs>
          <w:tab w:val="left" w:pos="993"/>
        </w:tabs>
        <w:ind w:firstLine="567"/>
        <w:rPr>
          <w:bCs/>
          <w:lang w:eastAsia="ru-RU"/>
        </w:rPr>
      </w:pPr>
    </w:p>
    <w:p w:rsidR="00637457" w:rsidRPr="00020763" w:rsidRDefault="00C81F2C" w:rsidP="00020763">
      <w:pPr>
        <w:tabs>
          <w:tab w:val="left" w:pos="993"/>
        </w:tabs>
        <w:ind w:firstLine="567"/>
        <w:rPr>
          <w:lang w:eastAsia="ru-RU"/>
        </w:rPr>
      </w:pPr>
      <w:r w:rsidRPr="00020763">
        <w:rPr>
          <w:lang w:eastAsia="ru-RU"/>
        </w:rPr>
        <w:t>3</w:t>
      </w:r>
      <w:r w:rsidR="00637457" w:rsidRPr="00020763">
        <w:rPr>
          <w:lang w:eastAsia="ru-RU"/>
        </w:rPr>
        <w:t>) за результатами рецензування ФДМУ встановлено, що звіт СОД (</w:t>
      </w:r>
      <w:r w:rsidR="00637457" w:rsidRPr="00020763">
        <w:rPr>
          <w:bCs/>
        </w:rPr>
        <w:t xml:space="preserve">крім звіту про експертну </w:t>
      </w:r>
      <w:r w:rsidR="00637457" w:rsidRPr="00020763">
        <w:rPr>
          <w:lang w:eastAsia="ru-RU"/>
        </w:rPr>
        <w:t xml:space="preserve">грошову </w:t>
      </w:r>
      <w:r w:rsidR="00637457" w:rsidRPr="00020763">
        <w:rPr>
          <w:bCs/>
        </w:rPr>
        <w:t>оцінку земельних ділянок)</w:t>
      </w:r>
      <w:r w:rsidR="00637457" w:rsidRPr="00020763">
        <w:rPr>
          <w:lang w:eastAsia="ru-RU"/>
        </w:rPr>
        <w:t>:</w:t>
      </w:r>
    </w:p>
    <w:p w:rsidR="00637457" w:rsidRPr="00020763" w:rsidRDefault="00637457" w:rsidP="00020763">
      <w:pPr>
        <w:tabs>
          <w:tab w:val="left" w:pos="993"/>
        </w:tabs>
        <w:ind w:firstLine="567"/>
        <w:rPr>
          <w:strike/>
          <w:lang w:eastAsia="ru-RU"/>
        </w:rPr>
      </w:pPr>
      <w:r w:rsidRPr="00020763">
        <w:rPr>
          <w:lang w:eastAsia="ru-RU"/>
        </w:rPr>
        <w:t xml:space="preserve">не повною мірою відповідає вимогам нормативно-правових актів з оцінки майна і має значні недоліки, що вплинули на достовірність оцінки, </w:t>
      </w:r>
      <w:r w:rsidRPr="00020763">
        <w:rPr>
          <w:shd w:val="clear" w:color="auto" w:fill="FFFFFF" w:themeFill="background1"/>
          <w:lang w:eastAsia="ru-RU"/>
        </w:rPr>
        <w:t>але може використовуватися з метою, визначеною у звіті СОД</w:t>
      </w:r>
      <w:r w:rsidR="00797AF2">
        <w:rPr>
          <w:shd w:val="clear" w:color="auto" w:fill="FFFFFF" w:themeFill="background1"/>
          <w:lang w:eastAsia="ru-RU"/>
        </w:rPr>
        <w:t>,</w:t>
      </w:r>
      <w:r w:rsidRPr="00020763">
        <w:rPr>
          <w:shd w:val="clear" w:color="auto" w:fill="FFFFFF" w:themeFill="background1"/>
          <w:lang w:eastAsia="ru-RU"/>
        </w:rPr>
        <w:t xml:space="preserve"> після виправлення зазначених недоліків; </w:t>
      </w:r>
    </w:p>
    <w:p w:rsidR="00637457" w:rsidRPr="00020763" w:rsidRDefault="00637457" w:rsidP="00020763">
      <w:pPr>
        <w:tabs>
          <w:tab w:val="left" w:pos="993"/>
        </w:tabs>
        <w:ind w:firstLine="567"/>
        <w:rPr>
          <w:lang w:eastAsia="ru-RU"/>
        </w:rPr>
      </w:pPr>
      <w:r w:rsidRPr="00020763">
        <w:rPr>
          <w:lang w:eastAsia="ru-RU"/>
        </w:rPr>
        <w:t>не відповідає вимогам нормативно-правових актів з оцінки майна, є  неякісним та/або непрофесійним і не може бути використаний.</w:t>
      </w:r>
    </w:p>
    <w:p w:rsidR="00503F67" w:rsidRPr="00020763" w:rsidRDefault="00503F67" w:rsidP="00020763">
      <w:pPr>
        <w:tabs>
          <w:tab w:val="left" w:pos="993"/>
        </w:tabs>
        <w:ind w:firstLine="567"/>
        <w:rPr>
          <w:lang w:eastAsia="ru-RU"/>
        </w:rPr>
      </w:pPr>
    </w:p>
    <w:p w:rsidR="000C78AE" w:rsidRPr="00020763" w:rsidRDefault="004455F4" w:rsidP="00020763">
      <w:pPr>
        <w:shd w:val="clear" w:color="auto" w:fill="FFFFFF" w:themeFill="background1"/>
        <w:tabs>
          <w:tab w:val="left" w:pos="851"/>
        </w:tabs>
        <w:ind w:firstLine="567"/>
        <w:rPr>
          <w:lang w:eastAsia="ru-RU"/>
        </w:rPr>
      </w:pPr>
      <w:r w:rsidRPr="00020763">
        <w:rPr>
          <w:bCs/>
        </w:rPr>
        <w:t>23</w:t>
      </w:r>
      <w:r w:rsidR="000C78AE" w:rsidRPr="00020763">
        <w:rPr>
          <w:bCs/>
        </w:rPr>
        <w:t xml:space="preserve">. Національний банк враховує </w:t>
      </w:r>
      <w:r w:rsidR="000C78AE" w:rsidRPr="00020763">
        <w:rPr>
          <w:lang w:eastAsia="ru-RU"/>
        </w:rPr>
        <w:t>результати рецензування ФДМУ звіту СОД (</w:t>
      </w:r>
      <w:r w:rsidR="000C78AE" w:rsidRPr="00020763">
        <w:rPr>
          <w:bCs/>
        </w:rPr>
        <w:t xml:space="preserve">крім звіту про експертну </w:t>
      </w:r>
      <w:r w:rsidR="000C78AE" w:rsidRPr="00020763">
        <w:rPr>
          <w:lang w:eastAsia="ru-RU"/>
        </w:rPr>
        <w:t xml:space="preserve">грошову </w:t>
      </w:r>
      <w:r w:rsidR="000C78AE" w:rsidRPr="00020763">
        <w:rPr>
          <w:bCs/>
        </w:rPr>
        <w:t>оцінку земельних ділянок), якщо</w:t>
      </w:r>
      <w:r w:rsidR="000C78AE" w:rsidRPr="00020763">
        <w:rPr>
          <w:lang w:eastAsia="ru-RU"/>
        </w:rPr>
        <w:t xml:space="preserve"> звіт повністю відповідає вимогам нормативно-правових актів з оцінки майна або звіт у цілому відповідає вимогам нормативно-правових актів з оцінки майна, але має незначні недоліки, що не вплинули на достовірність оцінки.</w:t>
      </w:r>
    </w:p>
    <w:p w:rsidR="0083559B" w:rsidRPr="00020763" w:rsidRDefault="000C78AE" w:rsidP="00020763">
      <w:pPr>
        <w:tabs>
          <w:tab w:val="left" w:pos="993"/>
        </w:tabs>
        <w:ind w:firstLine="567"/>
        <w:rPr>
          <w:bCs/>
        </w:rPr>
      </w:pPr>
      <w:r w:rsidRPr="00020763">
        <w:rPr>
          <w:lang w:eastAsia="ru-RU"/>
        </w:rPr>
        <w:t>Такі р</w:t>
      </w:r>
      <w:r w:rsidR="0083559B" w:rsidRPr="00020763">
        <w:t>езультати враховуються</w:t>
      </w:r>
      <w:r w:rsidR="0083559B" w:rsidRPr="00020763">
        <w:rPr>
          <w:bCs/>
        </w:rPr>
        <w:t xml:space="preserve"> залежно від строку їх надходження до Національного банку/направлення банку повідомлення:</w:t>
      </w:r>
    </w:p>
    <w:p w:rsidR="00462E4D" w:rsidRPr="00020763" w:rsidRDefault="00462E4D" w:rsidP="00020763">
      <w:pPr>
        <w:tabs>
          <w:tab w:val="left" w:pos="993"/>
        </w:tabs>
        <w:ind w:firstLine="567"/>
        <w:rPr>
          <w:bCs/>
        </w:rPr>
      </w:pPr>
    </w:p>
    <w:p w:rsidR="000C78AE" w:rsidRPr="00020763" w:rsidRDefault="0083559B" w:rsidP="00020763">
      <w:pPr>
        <w:tabs>
          <w:tab w:val="left" w:pos="993"/>
        </w:tabs>
        <w:ind w:firstLine="567"/>
        <w:rPr>
          <w:bCs/>
        </w:rPr>
      </w:pPr>
      <w:r w:rsidRPr="00020763">
        <w:rPr>
          <w:bCs/>
        </w:rPr>
        <w:t>1)</w:t>
      </w:r>
      <w:r w:rsidR="000C78AE" w:rsidRPr="00020763">
        <w:rPr>
          <w:bCs/>
        </w:rPr>
        <w:t xml:space="preserve"> </w:t>
      </w:r>
      <w:r w:rsidRPr="00020763">
        <w:rPr>
          <w:bCs/>
        </w:rPr>
        <w:t xml:space="preserve">Національним банком </w:t>
      </w:r>
      <w:r w:rsidR="000C78AE" w:rsidRPr="00020763">
        <w:rPr>
          <w:bCs/>
        </w:rPr>
        <w:t xml:space="preserve">– </w:t>
      </w:r>
      <w:r w:rsidRPr="00020763">
        <w:rPr>
          <w:bCs/>
        </w:rPr>
        <w:t xml:space="preserve">під час другого/третього етапу оцінки стійкості або під час </w:t>
      </w:r>
      <w:r w:rsidR="0020103B">
        <w:rPr>
          <w:bCs/>
        </w:rPr>
        <w:t xml:space="preserve">здійснення </w:t>
      </w:r>
      <w:r w:rsidRPr="00020763">
        <w:rPr>
          <w:bCs/>
        </w:rPr>
        <w:t>контролю за виконання банком програми капіталізації/</w:t>
      </w:r>
      <w:r w:rsidR="000C78AE" w:rsidRPr="00020763">
        <w:rPr>
          <w:bCs/>
        </w:rPr>
        <w:t xml:space="preserve"> </w:t>
      </w:r>
      <w:r w:rsidRPr="00020763">
        <w:rPr>
          <w:bCs/>
        </w:rPr>
        <w:t>реструктуризації</w:t>
      </w:r>
      <w:r w:rsidR="000C78AE" w:rsidRPr="00020763">
        <w:rPr>
          <w:bCs/>
        </w:rPr>
        <w:t>;</w:t>
      </w:r>
    </w:p>
    <w:p w:rsidR="000C78AE" w:rsidRPr="00020763" w:rsidRDefault="000C78AE" w:rsidP="00020763">
      <w:pPr>
        <w:tabs>
          <w:tab w:val="left" w:pos="993"/>
        </w:tabs>
        <w:ind w:firstLine="567"/>
        <w:rPr>
          <w:bCs/>
        </w:rPr>
      </w:pPr>
    </w:p>
    <w:p w:rsidR="0083559B" w:rsidRPr="00020763" w:rsidRDefault="000C78AE" w:rsidP="00020763">
      <w:pPr>
        <w:tabs>
          <w:tab w:val="left" w:pos="993"/>
        </w:tabs>
        <w:ind w:firstLine="567"/>
        <w:rPr>
          <w:bCs/>
        </w:rPr>
      </w:pPr>
      <w:r w:rsidRPr="00020763">
        <w:rPr>
          <w:bCs/>
        </w:rPr>
        <w:t>2) б</w:t>
      </w:r>
      <w:r w:rsidR="0083559B" w:rsidRPr="00020763">
        <w:rPr>
          <w:bCs/>
        </w:rPr>
        <w:t>анком – під час складання</w:t>
      </w:r>
      <w:r w:rsidRPr="00020763">
        <w:rPr>
          <w:bCs/>
        </w:rPr>
        <w:t xml:space="preserve"> або </w:t>
      </w:r>
      <w:r w:rsidR="0083559B" w:rsidRPr="00020763">
        <w:rPr>
          <w:bCs/>
        </w:rPr>
        <w:t>виконання програми капіталізації/</w:t>
      </w:r>
      <w:r w:rsidRPr="00020763">
        <w:rPr>
          <w:bCs/>
        </w:rPr>
        <w:t xml:space="preserve"> </w:t>
      </w:r>
      <w:r w:rsidR="0083559B" w:rsidRPr="00020763">
        <w:rPr>
          <w:bCs/>
        </w:rPr>
        <w:t>реструктуризації</w:t>
      </w:r>
      <w:r w:rsidR="00D15972" w:rsidRPr="00020763">
        <w:rPr>
          <w:bCs/>
        </w:rPr>
        <w:t>.</w:t>
      </w:r>
    </w:p>
    <w:p w:rsidR="00816E1B" w:rsidRPr="00020763" w:rsidRDefault="00816E1B" w:rsidP="00020763">
      <w:pPr>
        <w:tabs>
          <w:tab w:val="left" w:pos="993"/>
        </w:tabs>
        <w:ind w:firstLine="567"/>
        <w:rPr>
          <w:lang w:eastAsia="ru-RU"/>
        </w:rPr>
      </w:pPr>
    </w:p>
    <w:p w:rsidR="00D80C09" w:rsidRPr="00020763" w:rsidRDefault="004455F4" w:rsidP="00020763">
      <w:pPr>
        <w:tabs>
          <w:tab w:val="left" w:pos="851"/>
          <w:tab w:val="left" w:pos="993"/>
        </w:tabs>
        <w:ind w:firstLine="567"/>
        <w:rPr>
          <w:lang w:eastAsia="ru-RU"/>
        </w:rPr>
      </w:pPr>
      <w:r w:rsidRPr="00020763">
        <w:rPr>
          <w:lang w:eastAsia="ru-RU"/>
        </w:rPr>
        <w:t>24</w:t>
      </w:r>
      <w:r w:rsidR="00DB0D9B" w:rsidRPr="00020763">
        <w:rPr>
          <w:lang w:eastAsia="ru-RU"/>
        </w:rPr>
        <w:t xml:space="preserve">. </w:t>
      </w:r>
      <w:r w:rsidR="00D80C09" w:rsidRPr="00020763">
        <w:rPr>
          <w:lang w:eastAsia="ru-RU"/>
        </w:rPr>
        <w:t>Національний банк залежно від зміни тенденцій показників і ризиків діяльності банківської системи України, а також макроекономічних показників має право переглядати Технічне завдання, актуалізувати модел</w:t>
      </w:r>
      <w:r w:rsidR="00D80C09" w:rsidRPr="00020763">
        <w:rPr>
          <w:bCs/>
          <w:lang w:eastAsia="ru-RU"/>
        </w:rPr>
        <w:t>ь</w:t>
      </w:r>
      <w:r w:rsidR="00D80C09" w:rsidRPr="00020763">
        <w:rPr>
          <w:lang w:eastAsia="ru-RU"/>
        </w:rPr>
        <w:t xml:space="preserve"> стрес-тестування, граничні значення нормативів Н2 </w:t>
      </w:r>
      <w:r w:rsidR="00D80C09" w:rsidRPr="00020763">
        <w:rPr>
          <w:bCs/>
          <w:lang w:eastAsia="ru-RU"/>
        </w:rPr>
        <w:t>та Н3</w:t>
      </w:r>
      <w:r w:rsidR="00D80C09" w:rsidRPr="00020763">
        <w:rPr>
          <w:lang w:eastAsia="ru-RU"/>
        </w:rPr>
        <w:t>, макроекономічн</w:t>
      </w:r>
      <w:r w:rsidR="00D80C09" w:rsidRPr="00020763">
        <w:rPr>
          <w:bCs/>
          <w:lang w:eastAsia="ru-RU"/>
        </w:rPr>
        <w:t>ий</w:t>
      </w:r>
      <w:r w:rsidR="00D80C09" w:rsidRPr="00020763">
        <w:rPr>
          <w:lang w:eastAsia="ru-RU"/>
        </w:rPr>
        <w:t xml:space="preserve"> сценарі</w:t>
      </w:r>
      <w:r w:rsidR="00D80C09" w:rsidRPr="00020763">
        <w:rPr>
          <w:bCs/>
          <w:lang w:eastAsia="ru-RU"/>
        </w:rPr>
        <w:t>й</w:t>
      </w:r>
      <w:r w:rsidR="00D80C09" w:rsidRPr="00020763">
        <w:rPr>
          <w:lang w:eastAsia="ru-RU"/>
        </w:rPr>
        <w:t xml:space="preserve"> та порядок </w:t>
      </w:r>
      <w:r w:rsidR="00D80C09" w:rsidRPr="00020763">
        <w:rPr>
          <w:bCs/>
          <w:lang w:eastAsia="ru-RU"/>
        </w:rPr>
        <w:t>його</w:t>
      </w:r>
      <w:r w:rsidR="00D80C09" w:rsidRPr="00020763">
        <w:rPr>
          <w:lang w:eastAsia="ru-RU"/>
        </w:rPr>
        <w:t xml:space="preserve"> використання Національним банком під час проведення стрес-тестування банків і доводить </w:t>
      </w:r>
      <w:r w:rsidR="00524645" w:rsidRPr="00020763">
        <w:t xml:space="preserve">прийняте рішення за результатами перегляду </w:t>
      </w:r>
      <w:r w:rsidR="00524645" w:rsidRPr="00020763">
        <w:rPr>
          <w:lang w:eastAsia="ru-RU"/>
        </w:rPr>
        <w:t>Технічного завдання</w:t>
      </w:r>
      <w:r w:rsidR="00524645" w:rsidRPr="00020763">
        <w:t xml:space="preserve"> до відома банків</w:t>
      </w:r>
      <w:r w:rsidR="00D80C09" w:rsidRPr="00020763">
        <w:rPr>
          <w:lang w:eastAsia="ru-RU"/>
        </w:rPr>
        <w:t>.</w:t>
      </w:r>
    </w:p>
    <w:p w:rsidR="00DB0D9B" w:rsidRPr="00020763" w:rsidRDefault="00DB0D9B" w:rsidP="00020763">
      <w:pPr>
        <w:tabs>
          <w:tab w:val="left" w:pos="851"/>
          <w:tab w:val="left" w:pos="993"/>
        </w:tabs>
        <w:ind w:firstLine="567"/>
        <w:rPr>
          <w:lang w:eastAsia="ru-RU"/>
        </w:rPr>
      </w:pPr>
    </w:p>
    <w:p w:rsidR="00DB0D9B" w:rsidRPr="00020763" w:rsidRDefault="00DB0D9B" w:rsidP="0020103B">
      <w:pPr>
        <w:tabs>
          <w:tab w:val="left" w:pos="851"/>
          <w:tab w:val="left" w:pos="993"/>
        </w:tabs>
        <w:jc w:val="center"/>
        <w:rPr>
          <w:bCs/>
        </w:rPr>
      </w:pPr>
      <w:r w:rsidRPr="00020763">
        <w:rPr>
          <w:bCs/>
        </w:rPr>
        <w:t>I</w:t>
      </w:r>
      <w:r w:rsidR="004455F4" w:rsidRPr="00020763">
        <w:rPr>
          <w:bCs/>
          <w:lang w:val="en-US"/>
        </w:rPr>
        <w:t>V</w:t>
      </w:r>
      <w:r w:rsidRPr="00020763">
        <w:rPr>
          <w:bCs/>
        </w:rPr>
        <w:t>. Результати оцінки стійкості банку</w:t>
      </w:r>
    </w:p>
    <w:p w:rsidR="00DB0D9B" w:rsidRPr="00020763" w:rsidRDefault="00DB0D9B" w:rsidP="00020763">
      <w:pPr>
        <w:tabs>
          <w:tab w:val="left" w:pos="851"/>
          <w:tab w:val="left" w:pos="993"/>
        </w:tabs>
        <w:ind w:firstLine="567"/>
        <w:rPr>
          <w:lang w:eastAsia="ru-RU"/>
        </w:rPr>
      </w:pPr>
    </w:p>
    <w:p w:rsidR="00DB0D9B" w:rsidRPr="00020763" w:rsidRDefault="00E52204" w:rsidP="00020763">
      <w:pPr>
        <w:pStyle w:val="ParagraphNumbering"/>
        <w:tabs>
          <w:tab w:val="left" w:pos="567"/>
          <w:tab w:val="left" w:pos="993"/>
        </w:tabs>
        <w:spacing w:after="0"/>
        <w:ind w:firstLine="567"/>
        <w:jc w:val="both"/>
        <w:rPr>
          <w:sz w:val="28"/>
          <w:szCs w:val="28"/>
          <w:lang w:val="uk-UA"/>
        </w:rPr>
      </w:pPr>
      <w:r w:rsidRPr="00020763">
        <w:rPr>
          <w:sz w:val="28"/>
          <w:szCs w:val="28"/>
          <w:lang w:val="uk-UA"/>
        </w:rPr>
        <w:t>2</w:t>
      </w:r>
      <w:r w:rsidR="004455F4" w:rsidRPr="00020763">
        <w:rPr>
          <w:sz w:val="28"/>
          <w:szCs w:val="28"/>
          <w:lang w:val="uk-UA"/>
        </w:rPr>
        <w:t>5</w:t>
      </w:r>
      <w:r w:rsidR="00DB0D9B" w:rsidRPr="00020763">
        <w:rPr>
          <w:sz w:val="28"/>
          <w:szCs w:val="28"/>
          <w:lang w:val="uk-UA"/>
        </w:rPr>
        <w:t>. Національний банк за результатами оцінки сті</w:t>
      </w:r>
      <w:r w:rsidR="00C97CAA" w:rsidRPr="00020763">
        <w:rPr>
          <w:sz w:val="28"/>
          <w:szCs w:val="28"/>
          <w:lang w:val="uk-UA"/>
        </w:rPr>
        <w:t>йкості банку визначає необхідні рівні</w:t>
      </w:r>
      <w:r w:rsidR="00DB0D9B" w:rsidRPr="00020763">
        <w:rPr>
          <w:sz w:val="28"/>
          <w:szCs w:val="28"/>
          <w:lang w:val="uk-UA"/>
        </w:rPr>
        <w:t xml:space="preserve"> нормативів достатності капіталу банку.</w:t>
      </w:r>
    </w:p>
    <w:p w:rsidR="00507103" w:rsidRPr="00020763" w:rsidRDefault="00507103" w:rsidP="00020763">
      <w:pPr>
        <w:tabs>
          <w:tab w:val="left" w:pos="851"/>
          <w:tab w:val="left" w:pos="993"/>
        </w:tabs>
        <w:ind w:firstLine="567"/>
      </w:pPr>
    </w:p>
    <w:p w:rsidR="00E344F8" w:rsidRPr="00020763" w:rsidRDefault="00E52204" w:rsidP="00020763">
      <w:pPr>
        <w:tabs>
          <w:tab w:val="left" w:pos="851"/>
          <w:tab w:val="left" w:pos="993"/>
        </w:tabs>
        <w:ind w:firstLine="567"/>
      </w:pPr>
      <w:r w:rsidRPr="00020763">
        <w:t>2</w:t>
      </w:r>
      <w:r w:rsidR="004455F4" w:rsidRPr="00020763">
        <w:t>6</w:t>
      </w:r>
      <w:r w:rsidR="00DB0D9B" w:rsidRPr="00020763">
        <w:t>. Національний банк визначає необх</w:t>
      </w:r>
      <w:r w:rsidR="00C97CAA" w:rsidRPr="00020763">
        <w:t>ідні рівні</w:t>
      </w:r>
      <w:r w:rsidR="00DB0D9B" w:rsidRPr="00020763">
        <w:t xml:space="preserve"> нормати</w:t>
      </w:r>
      <w:r w:rsidR="00DD3E14" w:rsidRPr="00020763">
        <w:t xml:space="preserve">вів достатності капіталу банку </w:t>
      </w:r>
      <w:r w:rsidR="00DB0D9B" w:rsidRPr="00020763">
        <w:t xml:space="preserve">на підставі даних Звіту про результати першого етапу оцінки стійкості банку </w:t>
      </w:r>
      <w:r w:rsidR="000770FF" w:rsidRPr="00020763">
        <w:t>з урахуванням</w:t>
      </w:r>
      <w:r w:rsidR="00E344F8" w:rsidRPr="00020763">
        <w:t>:</w:t>
      </w:r>
    </w:p>
    <w:p w:rsidR="002C0666" w:rsidRPr="00020763" w:rsidRDefault="002C0666" w:rsidP="00020763">
      <w:pPr>
        <w:pStyle w:val="ParagraphNumbering"/>
        <w:tabs>
          <w:tab w:val="left" w:pos="567"/>
          <w:tab w:val="left" w:pos="993"/>
        </w:tabs>
        <w:spacing w:after="0"/>
        <w:ind w:firstLine="567"/>
        <w:jc w:val="both"/>
        <w:rPr>
          <w:sz w:val="28"/>
          <w:szCs w:val="28"/>
          <w:lang w:val="uk-UA"/>
        </w:rPr>
      </w:pPr>
    </w:p>
    <w:p w:rsidR="00E344F8" w:rsidRPr="00020763" w:rsidRDefault="00187448" w:rsidP="00020763">
      <w:pPr>
        <w:pStyle w:val="ParagraphNumbering"/>
        <w:numPr>
          <w:ilvl w:val="0"/>
          <w:numId w:val="43"/>
        </w:numPr>
        <w:tabs>
          <w:tab w:val="left" w:pos="567"/>
          <w:tab w:val="left" w:pos="993"/>
        </w:tabs>
        <w:spacing w:after="0"/>
        <w:ind w:left="0" w:firstLine="567"/>
        <w:jc w:val="both"/>
        <w:rPr>
          <w:sz w:val="28"/>
          <w:szCs w:val="28"/>
          <w:lang w:val="uk-UA"/>
        </w:rPr>
      </w:pPr>
      <w:r w:rsidRPr="00020763">
        <w:rPr>
          <w:sz w:val="28"/>
          <w:szCs w:val="28"/>
          <w:lang w:val="uk-UA"/>
        </w:rPr>
        <w:t>е</w:t>
      </w:r>
      <w:r w:rsidR="00A93EBA" w:rsidRPr="00020763">
        <w:rPr>
          <w:sz w:val="28"/>
          <w:szCs w:val="28"/>
          <w:lang w:val="uk-UA"/>
        </w:rPr>
        <w:t>кстраполяції</w:t>
      </w:r>
      <w:r w:rsidRPr="00020763">
        <w:rPr>
          <w:sz w:val="28"/>
          <w:szCs w:val="28"/>
          <w:lang w:val="uk-UA"/>
        </w:rPr>
        <w:t xml:space="preserve"> (у разі здійснення)</w:t>
      </w:r>
      <w:r w:rsidR="00E344F8" w:rsidRPr="00020763">
        <w:rPr>
          <w:sz w:val="28"/>
          <w:szCs w:val="28"/>
          <w:shd w:val="clear" w:color="auto" w:fill="FFFFFF" w:themeFill="background1"/>
          <w:lang w:val="uk-UA"/>
        </w:rPr>
        <w:t>;</w:t>
      </w:r>
    </w:p>
    <w:p w:rsidR="002C0666" w:rsidRPr="00020763" w:rsidRDefault="002C0666" w:rsidP="00020763">
      <w:pPr>
        <w:pStyle w:val="ParagraphNumbering"/>
        <w:tabs>
          <w:tab w:val="left" w:pos="567"/>
          <w:tab w:val="left" w:pos="993"/>
        </w:tabs>
        <w:spacing w:after="0"/>
        <w:ind w:firstLine="567"/>
        <w:jc w:val="both"/>
        <w:rPr>
          <w:sz w:val="28"/>
          <w:szCs w:val="28"/>
          <w:lang w:val="uk-UA"/>
        </w:rPr>
      </w:pPr>
    </w:p>
    <w:p w:rsidR="00E344F8" w:rsidRPr="00020763" w:rsidRDefault="00D561AD" w:rsidP="00020763">
      <w:pPr>
        <w:pStyle w:val="ParagraphNumbering"/>
        <w:numPr>
          <w:ilvl w:val="0"/>
          <w:numId w:val="43"/>
        </w:numPr>
        <w:tabs>
          <w:tab w:val="left" w:pos="567"/>
          <w:tab w:val="left" w:pos="993"/>
        </w:tabs>
        <w:spacing w:after="0"/>
        <w:ind w:left="0" w:firstLine="567"/>
        <w:jc w:val="both"/>
        <w:rPr>
          <w:sz w:val="28"/>
          <w:szCs w:val="28"/>
          <w:lang w:val="uk-UA"/>
        </w:rPr>
      </w:pPr>
      <w:r w:rsidRPr="00020763">
        <w:rPr>
          <w:sz w:val="28"/>
          <w:szCs w:val="28"/>
          <w:lang w:val="uk-UA"/>
        </w:rPr>
        <w:t xml:space="preserve">наявних </w:t>
      </w:r>
      <w:r w:rsidR="00A93EBA" w:rsidRPr="00020763">
        <w:rPr>
          <w:sz w:val="28"/>
          <w:szCs w:val="28"/>
          <w:lang w:val="uk-UA"/>
        </w:rPr>
        <w:t>результатів перевірки оцінки вартості майна</w:t>
      </w:r>
      <w:r w:rsidR="00E344F8" w:rsidRPr="00020763">
        <w:rPr>
          <w:sz w:val="28"/>
          <w:szCs w:val="28"/>
          <w:lang w:val="uk-UA"/>
        </w:rPr>
        <w:t>;</w:t>
      </w:r>
    </w:p>
    <w:p w:rsidR="002C0666" w:rsidRPr="00020763" w:rsidRDefault="002C0666" w:rsidP="00020763">
      <w:pPr>
        <w:pStyle w:val="ParagraphNumbering"/>
        <w:tabs>
          <w:tab w:val="left" w:pos="567"/>
          <w:tab w:val="left" w:pos="993"/>
        </w:tabs>
        <w:spacing w:after="0"/>
        <w:ind w:firstLine="567"/>
        <w:jc w:val="both"/>
        <w:rPr>
          <w:sz w:val="28"/>
          <w:szCs w:val="28"/>
          <w:lang w:val="uk-UA"/>
        </w:rPr>
      </w:pPr>
    </w:p>
    <w:p w:rsidR="00DB0D9B" w:rsidRPr="00020763" w:rsidRDefault="00DB0D9B" w:rsidP="00020763">
      <w:pPr>
        <w:pStyle w:val="ParagraphNumbering"/>
        <w:numPr>
          <w:ilvl w:val="0"/>
          <w:numId w:val="43"/>
        </w:numPr>
        <w:tabs>
          <w:tab w:val="left" w:pos="567"/>
          <w:tab w:val="left" w:pos="993"/>
        </w:tabs>
        <w:spacing w:after="0"/>
        <w:ind w:left="0" w:firstLine="567"/>
        <w:jc w:val="both"/>
        <w:rPr>
          <w:sz w:val="28"/>
          <w:szCs w:val="28"/>
          <w:lang w:val="uk-UA"/>
        </w:rPr>
      </w:pPr>
      <w:r w:rsidRPr="00020763">
        <w:rPr>
          <w:sz w:val="28"/>
          <w:szCs w:val="28"/>
          <w:lang w:val="uk-UA"/>
        </w:rPr>
        <w:t>результатів стрес-тестування за базовим макроекономічним сценарієм.</w:t>
      </w:r>
      <w:r w:rsidR="00FF3E0E" w:rsidRPr="00020763">
        <w:rPr>
          <w:sz w:val="28"/>
          <w:szCs w:val="28"/>
          <w:lang w:val="uk-UA"/>
        </w:rPr>
        <w:t xml:space="preserve"> </w:t>
      </w:r>
    </w:p>
    <w:p w:rsidR="002D55F1" w:rsidRPr="00020763" w:rsidRDefault="002D55F1" w:rsidP="00020763">
      <w:pPr>
        <w:pStyle w:val="ParagraphNumbering"/>
        <w:tabs>
          <w:tab w:val="left" w:pos="567"/>
          <w:tab w:val="left" w:pos="993"/>
        </w:tabs>
        <w:spacing w:after="0"/>
        <w:ind w:firstLine="567"/>
        <w:jc w:val="both"/>
        <w:rPr>
          <w:sz w:val="28"/>
          <w:szCs w:val="28"/>
          <w:lang w:val="uk-UA"/>
        </w:rPr>
      </w:pPr>
    </w:p>
    <w:p w:rsidR="002D55F1" w:rsidRPr="00020763" w:rsidRDefault="001A18E3" w:rsidP="00020763">
      <w:pPr>
        <w:pStyle w:val="ParagraphNumbering"/>
        <w:tabs>
          <w:tab w:val="left" w:pos="567"/>
          <w:tab w:val="left" w:pos="993"/>
        </w:tabs>
        <w:spacing w:after="0"/>
        <w:ind w:firstLine="567"/>
        <w:jc w:val="both"/>
        <w:rPr>
          <w:sz w:val="28"/>
          <w:szCs w:val="28"/>
          <w:lang w:val="uk-UA" w:eastAsia="ru-RU"/>
        </w:rPr>
      </w:pPr>
      <w:r w:rsidRPr="00020763">
        <w:rPr>
          <w:sz w:val="28"/>
          <w:szCs w:val="28"/>
          <w:lang w:val="uk-UA" w:eastAsia="ru-RU"/>
        </w:rPr>
        <w:t>2</w:t>
      </w:r>
      <w:r w:rsidR="00D50C8C" w:rsidRPr="00020763">
        <w:rPr>
          <w:sz w:val="28"/>
          <w:szCs w:val="28"/>
          <w:lang w:val="uk-UA" w:eastAsia="ru-RU"/>
        </w:rPr>
        <w:t>7</w:t>
      </w:r>
      <w:r w:rsidR="002D55F1" w:rsidRPr="00020763">
        <w:rPr>
          <w:sz w:val="28"/>
          <w:szCs w:val="28"/>
          <w:lang w:val="uk-UA" w:eastAsia="ru-RU"/>
        </w:rPr>
        <w:t>. Результати</w:t>
      </w:r>
      <w:r w:rsidR="002D55F1" w:rsidRPr="00020763">
        <w:rPr>
          <w:sz w:val="28"/>
          <w:szCs w:val="28"/>
          <w:lang w:val="uk-UA"/>
        </w:rPr>
        <w:t xml:space="preserve"> оцінки стійкості банку оформляються у вигляді </w:t>
      </w:r>
      <w:r w:rsidR="00347279" w:rsidRPr="00020763">
        <w:rPr>
          <w:sz w:val="28"/>
          <w:szCs w:val="28"/>
          <w:lang w:val="uk-UA"/>
        </w:rPr>
        <w:t>п</w:t>
      </w:r>
      <w:r w:rsidR="002D55F1" w:rsidRPr="00020763">
        <w:rPr>
          <w:sz w:val="28"/>
          <w:szCs w:val="28"/>
          <w:lang w:val="uk-UA"/>
        </w:rPr>
        <w:t>ояснювальної записки</w:t>
      </w:r>
      <w:r w:rsidR="002D55F1" w:rsidRPr="00020763">
        <w:rPr>
          <w:sz w:val="28"/>
          <w:szCs w:val="28"/>
          <w:lang w:val="uk-UA" w:eastAsia="ru-RU"/>
        </w:rPr>
        <w:t>, вимоги до якої визначаються в Технічному завданні.</w:t>
      </w:r>
    </w:p>
    <w:p w:rsidR="002D55F1" w:rsidRPr="00020763" w:rsidRDefault="002D55F1" w:rsidP="00020763">
      <w:pPr>
        <w:pStyle w:val="ParagraphNumbering"/>
        <w:tabs>
          <w:tab w:val="left" w:pos="567"/>
          <w:tab w:val="left" w:pos="993"/>
        </w:tabs>
        <w:spacing w:after="0"/>
        <w:ind w:firstLine="567"/>
        <w:jc w:val="both"/>
        <w:rPr>
          <w:sz w:val="28"/>
          <w:szCs w:val="28"/>
          <w:lang w:val="uk-UA" w:eastAsia="ru-RU"/>
        </w:rPr>
      </w:pPr>
    </w:p>
    <w:p w:rsidR="00D6181A" w:rsidRPr="00020763" w:rsidRDefault="001A18E3" w:rsidP="00020763">
      <w:pPr>
        <w:tabs>
          <w:tab w:val="left" w:pos="851"/>
          <w:tab w:val="left" w:pos="993"/>
        </w:tabs>
        <w:ind w:firstLine="567"/>
        <w:rPr>
          <w:lang w:eastAsia="ru-RU"/>
        </w:rPr>
      </w:pPr>
      <w:r w:rsidRPr="00020763">
        <w:rPr>
          <w:lang w:eastAsia="ru-RU"/>
        </w:rPr>
        <w:t>2</w:t>
      </w:r>
      <w:r w:rsidR="00D50C8C" w:rsidRPr="00020763">
        <w:rPr>
          <w:lang w:eastAsia="ru-RU"/>
        </w:rPr>
        <w:t>8</w:t>
      </w:r>
      <w:r w:rsidR="002D55F1" w:rsidRPr="00020763">
        <w:rPr>
          <w:lang w:eastAsia="ru-RU"/>
        </w:rPr>
        <w:t>. Результати, зазначені у Звіті про результати першого етапу оцінки стійкості банку/</w:t>
      </w:r>
      <w:r w:rsidR="00347279" w:rsidRPr="00020763">
        <w:rPr>
          <w:lang w:eastAsia="ru-RU"/>
        </w:rPr>
        <w:t>п</w:t>
      </w:r>
      <w:r w:rsidR="002D55F1" w:rsidRPr="00020763">
        <w:rPr>
          <w:lang w:eastAsia="ru-RU"/>
        </w:rPr>
        <w:t>ояснювальній записці, не змінюють даних фінансової звітності банку станом на</w:t>
      </w:r>
      <w:r w:rsidR="00E344F8" w:rsidRPr="00020763">
        <w:rPr>
          <w:lang w:eastAsia="ru-RU"/>
        </w:rPr>
        <w:t xml:space="preserve"> звітну дату.</w:t>
      </w:r>
    </w:p>
    <w:p w:rsidR="0038272D" w:rsidRPr="00020763" w:rsidRDefault="00C5408F" w:rsidP="00020763">
      <w:pPr>
        <w:tabs>
          <w:tab w:val="left" w:pos="360"/>
          <w:tab w:val="left" w:pos="851"/>
          <w:tab w:val="left" w:pos="1134"/>
        </w:tabs>
        <w:ind w:firstLine="567"/>
        <w:rPr>
          <w:lang w:eastAsia="ru-RU"/>
        </w:rPr>
      </w:pPr>
      <w:r w:rsidRPr="00020763">
        <w:rPr>
          <w:lang w:eastAsia="ru-RU"/>
        </w:rPr>
        <w:t xml:space="preserve">Банк відображає коригування, зазначені у Звіті про результати першого етапу оцінки стійкості банку, у проміжній фінансовій (за наявності) та статистичній звітності не пізніше ніж на перше число місяця, наступного за місяцем, у якому отримано </w:t>
      </w:r>
      <w:r w:rsidR="00A52DBB" w:rsidRPr="00020763">
        <w:rPr>
          <w:lang w:eastAsia="ru-RU"/>
        </w:rPr>
        <w:t>З</w:t>
      </w:r>
      <w:r w:rsidRPr="00020763">
        <w:rPr>
          <w:lang w:eastAsia="ru-RU"/>
        </w:rPr>
        <w:t>віт</w:t>
      </w:r>
      <w:r w:rsidR="00A52DBB" w:rsidRPr="00020763">
        <w:rPr>
          <w:lang w:eastAsia="ru-RU"/>
        </w:rPr>
        <w:t xml:space="preserve"> про результати першого етапу оцінки стійкості банку</w:t>
      </w:r>
      <w:r w:rsidRPr="00020763">
        <w:rPr>
          <w:lang w:eastAsia="ru-RU"/>
        </w:rPr>
        <w:t>,</w:t>
      </w:r>
      <w:r w:rsidR="00C06A88" w:rsidRPr="00020763">
        <w:rPr>
          <w:lang w:eastAsia="ru-RU"/>
        </w:rPr>
        <w:t xml:space="preserve"> </w:t>
      </w:r>
      <w:r w:rsidR="00C06A88" w:rsidRPr="00020763">
        <w:rPr>
          <w:bCs/>
          <w:lang w:eastAsia="ru-RU"/>
        </w:rPr>
        <w:t xml:space="preserve">та протягом наступного місяця проводить перегляд оцінки розміру кредитного ризику за </w:t>
      </w:r>
      <w:r w:rsidR="0091372E">
        <w:rPr>
          <w:bCs/>
          <w:lang w:eastAsia="ru-RU"/>
        </w:rPr>
        <w:t>в</w:t>
      </w:r>
      <w:r w:rsidR="0091372E" w:rsidRPr="00020763">
        <w:rPr>
          <w:bCs/>
          <w:lang w:eastAsia="ru-RU"/>
        </w:rPr>
        <w:t xml:space="preserve">сіма </w:t>
      </w:r>
      <w:r w:rsidR="00C06A88" w:rsidRPr="00020763">
        <w:rPr>
          <w:bCs/>
          <w:lang w:eastAsia="ru-RU"/>
        </w:rPr>
        <w:t>кредитами згідно з вимогами Положення №</w:t>
      </w:r>
      <w:r w:rsidR="00D15550" w:rsidRPr="00020763">
        <w:rPr>
          <w:bCs/>
          <w:shd w:val="clear" w:color="auto" w:fill="FFFFFF"/>
        </w:rPr>
        <w:t> </w:t>
      </w:r>
      <w:r w:rsidR="00D00B54" w:rsidRPr="00020763">
        <w:rPr>
          <w:bCs/>
          <w:lang w:eastAsia="ru-RU"/>
        </w:rPr>
        <w:t>351</w:t>
      </w:r>
      <w:r w:rsidR="00BF23C3" w:rsidRPr="00020763">
        <w:rPr>
          <w:bCs/>
          <w:lang w:eastAsia="ru-RU"/>
        </w:rPr>
        <w:t xml:space="preserve"> з урахуванням Правил №</w:t>
      </w:r>
      <w:r w:rsidR="003C7DB5" w:rsidRPr="00020763">
        <w:rPr>
          <w:bCs/>
          <w:shd w:val="clear" w:color="auto" w:fill="FFFFFF"/>
        </w:rPr>
        <w:t> </w:t>
      </w:r>
      <w:r w:rsidR="00BF23C3" w:rsidRPr="00020763">
        <w:rPr>
          <w:bCs/>
          <w:lang w:eastAsia="ru-RU"/>
        </w:rPr>
        <w:t xml:space="preserve">23 </w:t>
      </w:r>
      <w:r w:rsidR="00C06A88" w:rsidRPr="00020763">
        <w:rPr>
          <w:bCs/>
          <w:lang w:eastAsia="ru-RU"/>
        </w:rPr>
        <w:t>і відображає результати такого перегляду в статистичній звітності</w:t>
      </w:r>
      <w:r w:rsidR="002D55F1" w:rsidRPr="00020763">
        <w:rPr>
          <w:lang w:eastAsia="ru-RU"/>
        </w:rPr>
        <w:t>.</w:t>
      </w:r>
      <w:r w:rsidR="0038272D" w:rsidRPr="00020763">
        <w:rPr>
          <w:lang w:eastAsia="ru-RU"/>
        </w:rPr>
        <w:t xml:space="preserve"> </w:t>
      </w:r>
    </w:p>
    <w:p w:rsidR="002D55F1" w:rsidRPr="00020763" w:rsidRDefault="002D55F1" w:rsidP="00020763">
      <w:pPr>
        <w:pStyle w:val="xmsonormal"/>
        <w:shd w:val="clear" w:color="auto" w:fill="FFFFFF"/>
        <w:spacing w:before="0" w:beforeAutospacing="0" w:after="0" w:afterAutospacing="0"/>
        <w:ind w:firstLine="567"/>
        <w:jc w:val="both"/>
        <w:rPr>
          <w:sz w:val="28"/>
          <w:szCs w:val="28"/>
        </w:rPr>
      </w:pPr>
      <w:r w:rsidRPr="00020763">
        <w:rPr>
          <w:sz w:val="28"/>
          <w:szCs w:val="28"/>
          <w:lang w:eastAsia="ru-RU"/>
        </w:rPr>
        <w:t xml:space="preserve">Банк з урахуванням результатів оцінки якості активів </w:t>
      </w:r>
      <w:r w:rsidR="00ED6E55" w:rsidRPr="00020763">
        <w:rPr>
          <w:sz w:val="28"/>
          <w:szCs w:val="28"/>
          <w:lang w:eastAsia="ru-RU"/>
        </w:rPr>
        <w:t xml:space="preserve">та прийнятності забезпечення за кредитними операціями </w:t>
      </w:r>
      <w:r w:rsidRPr="00020763">
        <w:rPr>
          <w:sz w:val="28"/>
          <w:szCs w:val="28"/>
          <w:lang w:eastAsia="ru-RU"/>
        </w:rPr>
        <w:t xml:space="preserve">переглядає та за </w:t>
      </w:r>
      <w:r w:rsidR="00E23AA5">
        <w:rPr>
          <w:sz w:val="28"/>
          <w:szCs w:val="28"/>
          <w:lang w:eastAsia="ru-RU"/>
        </w:rPr>
        <w:t>потреби</w:t>
      </w:r>
      <w:r w:rsidR="00E23AA5" w:rsidRPr="00020763">
        <w:rPr>
          <w:sz w:val="28"/>
          <w:szCs w:val="28"/>
          <w:lang w:eastAsia="ru-RU"/>
        </w:rPr>
        <w:t xml:space="preserve"> </w:t>
      </w:r>
      <w:r w:rsidRPr="00020763">
        <w:rPr>
          <w:sz w:val="28"/>
          <w:szCs w:val="28"/>
          <w:lang w:eastAsia="ru-RU"/>
        </w:rPr>
        <w:t xml:space="preserve">доопрацьовує </w:t>
      </w:r>
      <w:r w:rsidRPr="00020763">
        <w:rPr>
          <w:sz w:val="28"/>
          <w:szCs w:val="28"/>
        </w:rPr>
        <w:t xml:space="preserve">внутрішньобанківські положення, </w:t>
      </w:r>
      <w:r w:rsidR="00E23AA5">
        <w:rPr>
          <w:sz w:val="28"/>
          <w:szCs w:val="28"/>
        </w:rPr>
        <w:t>в</w:t>
      </w:r>
      <w:r w:rsidRPr="00020763">
        <w:rPr>
          <w:sz w:val="28"/>
          <w:szCs w:val="28"/>
        </w:rPr>
        <w:t>ключаючи методики та процедури, вимоги щодо розроблення яких установлені Положенням №</w:t>
      </w:r>
      <w:r w:rsidR="00D15550" w:rsidRPr="00020763">
        <w:rPr>
          <w:bCs/>
          <w:sz w:val="28"/>
          <w:szCs w:val="28"/>
          <w:shd w:val="clear" w:color="auto" w:fill="FFFFFF"/>
        </w:rPr>
        <w:t> </w:t>
      </w:r>
      <w:r w:rsidRPr="00020763">
        <w:rPr>
          <w:sz w:val="28"/>
          <w:szCs w:val="28"/>
        </w:rPr>
        <w:t>351</w:t>
      </w:r>
      <w:r w:rsidR="00584D43" w:rsidRPr="00020763">
        <w:rPr>
          <w:sz w:val="28"/>
          <w:szCs w:val="28"/>
        </w:rPr>
        <w:t xml:space="preserve">, протягом трьох місяців після закінчення </w:t>
      </w:r>
      <w:r w:rsidR="002D4C2E" w:rsidRPr="00020763">
        <w:rPr>
          <w:sz w:val="28"/>
          <w:szCs w:val="28"/>
        </w:rPr>
        <w:t xml:space="preserve">позапланової </w:t>
      </w:r>
      <w:r w:rsidR="00584D43" w:rsidRPr="00020763">
        <w:rPr>
          <w:sz w:val="28"/>
          <w:szCs w:val="28"/>
        </w:rPr>
        <w:t>інспекційної перевірки</w:t>
      </w:r>
      <w:r w:rsidRPr="00020763">
        <w:rPr>
          <w:sz w:val="28"/>
          <w:szCs w:val="28"/>
        </w:rPr>
        <w:t>.</w:t>
      </w:r>
    </w:p>
    <w:p w:rsidR="00911776" w:rsidRPr="00020763" w:rsidRDefault="00911776" w:rsidP="00020763">
      <w:pPr>
        <w:pStyle w:val="xmsonormal"/>
        <w:shd w:val="clear" w:color="auto" w:fill="FFFFFF"/>
        <w:spacing w:before="0" w:beforeAutospacing="0" w:after="0" w:afterAutospacing="0"/>
        <w:ind w:firstLine="567"/>
        <w:jc w:val="both"/>
        <w:rPr>
          <w:sz w:val="28"/>
          <w:szCs w:val="28"/>
        </w:rPr>
      </w:pPr>
    </w:p>
    <w:p w:rsidR="002D55F1" w:rsidRPr="00020763" w:rsidRDefault="001A18E3" w:rsidP="00020763">
      <w:pPr>
        <w:shd w:val="clear" w:color="auto" w:fill="FFFFFF" w:themeFill="background1"/>
        <w:tabs>
          <w:tab w:val="left" w:pos="888"/>
          <w:tab w:val="left" w:pos="993"/>
        </w:tabs>
        <w:ind w:firstLine="567"/>
        <w:rPr>
          <w:i/>
          <w:iCs/>
        </w:rPr>
      </w:pPr>
      <w:r w:rsidRPr="00020763">
        <w:t>2</w:t>
      </w:r>
      <w:r w:rsidR="00D50C8C" w:rsidRPr="00020763">
        <w:t>9</w:t>
      </w:r>
      <w:r w:rsidR="002D55F1" w:rsidRPr="00020763">
        <w:t xml:space="preserve">. Національний банк для забезпечення </w:t>
      </w:r>
      <w:r w:rsidR="002D55F1" w:rsidRPr="00020763">
        <w:rPr>
          <w:bCs/>
        </w:rPr>
        <w:t>дотримання</w:t>
      </w:r>
      <w:r w:rsidR="002D55F1" w:rsidRPr="00020763">
        <w:t xml:space="preserve"> банком необхідн</w:t>
      </w:r>
      <w:r w:rsidR="009A08A6" w:rsidRPr="00020763">
        <w:t>их</w:t>
      </w:r>
      <w:r w:rsidR="002D55F1" w:rsidRPr="00020763">
        <w:t xml:space="preserve"> рівн</w:t>
      </w:r>
      <w:r w:rsidR="009A08A6" w:rsidRPr="00020763">
        <w:t>ів</w:t>
      </w:r>
      <w:r w:rsidR="002D55F1" w:rsidRPr="00020763">
        <w:t xml:space="preserve"> нормативів достатності капіталу, визначених за результатами оцінки стійкості банку, </w:t>
      </w:r>
      <w:r w:rsidR="001C2A90" w:rsidRPr="00020763">
        <w:t xml:space="preserve">до 01 січня 2024 року </w:t>
      </w:r>
      <w:r w:rsidR="002D55F1" w:rsidRPr="00020763">
        <w:t>надсилає вимогу про ск</w:t>
      </w:r>
      <w:r w:rsidR="00721556" w:rsidRPr="00020763">
        <w:t xml:space="preserve">ладання </w:t>
      </w:r>
      <w:r w:rsidR="001C2A90" w:rsidRPr="00020763">
        <w:t xml:space="preserve">банком </w:t>
      </w:r>
      <w:r w:rsidR="00721556" w:rsidRPr="00020763">
        <w:t>програми капіталізації/</w:t>
      </w:r>
      <w:r w:rsidR="001C2A90" w:rsidRPr="00020763">
        <w:t>реструктуризації щодо</w:t>
      </w:r>
      <w:r w:rsidR="002D55F1" w:rsidRPr="00020763">
        <w:t>:</w:t>
      </w:r>
    </w:p>
    <w:p w:rsidR="003D41C5" w:rsidRPr="00020763" w:rsidRDefault="003D41C5" w:rsidP="00020763">
      <w:pPr>
        <w:pStyle w:val="rvps2"/>
        <w:shd w:val="clear" w:color="auto" w:fill="FFFFFF" w:themeFill="background1"/>
        <w:tabs>
          <w:tab w:val="left" w:pos="441"/>
          <w:tab w:val="left" w:pos="851"/>
        </w:tabs>
        <w:spacing w:before="0" w:beforeAutospacing="0" w:after="0" w:afterAutospacing="0"/>
        <w:ind w:firstLine="567"/>
        <w:jc w:val="both"/>
        <w:rPr>
          <w:bCs/>
          <w:sz w:val="28"/>
          <w:szCs w:val="28"/>
        </w:rPr>
      </w:pPr>
    </w:p>
    <w:p w:rsidR="002D55F1" w:rsidRPr="00020763" w:rsidRDefault="003D41C5" w:rsidP="00020763">
      <w:pPr>
        <w:pStyle w:val="rvps2"/>
        <w:shd w:val="clear" w:color="auto" w:fill="FFFFFF" w:themeFill="background1"/>
        <w:tabs>
          <w:tab w:val="left" w:pos="441"/>
          <w:tab w:val="left" w:pos="851"/>
        </w:tabs>
        <w:spacing w:before="0" w:beforeAutospacing="0" w:after="0" w:afterAutospacing="0"/>
        <w:ind w:firstLine="567"/>
        <w:jc w:val="both"/>
        <w:rPr>
          <w:bCs/>
          <w:i/>
          <w:iCs/>
          <w:sz w:val="28"/>
          <w:szCs w:val="28"/>
        </w:rPr>
      </w:pPr>
      <w:r w:rsidRPr="00020763">
        <w:rPr>
          <w:bCs/>
          <w:sz w:val="28"/>
          <w:szCs w:val="28"/>
        </w:rPr>
        <w:t xml:space="preserve">1) </w:t>
      </w:r>
      <w:r w:rsidR="002D55F1" w:rsidRPr="00020763">
        <w:rPr>
          <w:bCs/>
          <w:sz w:val="28"/>
          <w:szCs w:val="28"/>
        </w:rPr>
        <w:t>досягнення необхідного рівня капіталу</w:t>
      </w:r>
      <w:r w:rsidR="008C2D95" w:rsidRPr="00020763">
        <w:rPr>
          <w:bCs/>
          <w:sz w:val="28"/>
          <w:szCs w:val="28"/>
        </w:rPr>
        <w:t>, визначеного Національним банком,</w:t>
      </w:r>
      <w:r w:rsidR="002D55F1" w:rsidRPr="00020763">
        <w:rPr>
          <w:bCs/>
          <w:sz w:val="28"/>
          <w:szCs w:val="28"/>
        </w:rPr>
        <w:t xml:space="preserve"> – </w:t>
      </w:r>
      <w:r w:rsidR="002D55F1" w:rsidRPr="00020763">
        <w:rPr>
          <w:bCs/>
          <w:iCs/>
          <w:sz w:val="28"/>
          <w:szCs w:val="28"/>
        </w:rPr>
        <w:t xml:space="preserve">якщо значення нормативів </w:t>
      </w:r>
      <w:r w:rsidR="002D55F1" w:rsidRPr="00020763">
        <w:rPr>
          <w:bCs/>
          <w:sz w:val="28"/>
          <w:szCs w:val="28"/>
        </w:rPr>
        <w:t>Н2</w:t>
      </w:r>
      <w:r w:rsidR="004546C5" w:rsidRPr="00020763">
        <w:rPr>
          <w:bCs/>
          <w:sz w:val="28"/>
          <w:szCs w:val="28"/>
        </w:rPr>
        <w:t xml:space="preserve"> та </w:t>
      </w:r>
      <w:r w:rsidR="002D55F1" w:rsidRPr="00020763">
        <w:rPr>
          <w:bCs/>
          <w:sz w:val="28"/>
          <w:szCs w:val="28"/>
        </w:rPr>
        <w:t>Н3, розраховані за результатами першого етапу, були меншими</w:t>
      </w:r>
      <w:r w:rsidR="00E23AA5">
        <w:rPr>
          <w:bCs/>
          <w:sz w:val="28"/>
          <w:szCs w:val="28"/>
        </w:rPr>
        <w:t>,</w:t>
      </w:r>
      <w:r w:rsidR="002D55F1" w:rsidRPr="00020763">
        <w:rPr>
          <w:bCs/>
          <w:sz w:val="28"/>
          <w:szCs w:val="28"/>
        </w:rPr>
        <w:t xml:space="preserve"> ніж нормативні значення</w:t>
      </w:r>
      <w:r w:rsidR="003B4DAC" w:rsidRPr="00020763">
        <w:rPr>
          <w:bCs/>
          <w:sz w:val="28"/>
          <w:szCs w:val="28"/>
        </w:rPr>
        <w:t xml:space="preserve">, </w:t>
      </w:r>
      <w:r w:rsidR="004C6413">
        <w:rPr>
          <w:bCs/>
          <w:sz w:val="28"/>
          <w:szCs w:val="28"/>
          <w:shd w:val="clear" w:color="auto" w:fill="FFFFFF" w:themeFill="background1"/>
        </w:rPr>
        <w:t>у</w:t>
      </w:r>
      <w:r w:rsidR="003B4DAC" w:rsidRPr="00020763">
        <w:rPr>
          <w:bCs/>
          <w:sz w:val="28"/>
          <w:szCs w:val="28"/>
          <w:shd w:val="clear" w:color="auto" w:fill="FFFFFF" w:themeFill="background1"/>
        </w:rPr>
        <w:t>становлені Інструкцією №</w:t>
      </w:r>
      <w:r w:rsidR="003B4DAC" w:rsidRPr="00020763">
        <w:rPr>
          <w:bCs/>
          <w:sz w:val="28"/>
          <w:szCs w:val="28"/>
          <w:shd w:val="clear" w:color="auto" w:fill="FFFFFF"/>
        </w:rPr>
        <w:t> </w:t>
      </w:r>
      <w:r w:rsidR="003B4DAC" w:rsidRPr="00020763">
        <w:rPr>
          <w:bCs/>
          <w:sz w:val="28"/>
          <w:szCs w:val="28"/>
          <w:shd w:val="clear" w:color="auto" w:fill="FFFFFF" w:themeFill="background1"/>
        </w:rPr>
        <w:t>368,</w:t>
      </w:r>
      <w:r w:rsidR="002D55F1" w:rsidRPr="00020763">
        <w:rPr>
          <w:bCs/>
          <w:sz w:val="28"/>
          <w:szCs w:val="28"/>
        </w:rPr>
        <w:t xml:space="preserve"> та/або </w:t>
      </w:r>
      <w:r w:rsidR="002D55F1" w:rsidRPr="00020763">
        <w:rPr>
          <w:bCs/>
          <w:iCs/>
          <w:sz w:val="28"/>
          <w:szCs w:val="28"/>
        </w:rPr>
        <w:t xml:space="preserve">якщо значення нормативів </w:t>
      </w:r>
      <w:r w:rsidR="002D55F1" w:rsidRPr="00020763">
        <w:rPr>
          <w:bCs/>
          <w:sz w:val="28"/>
          <w:szCs w:val="28"/>
        </w:rPr>
        <w:t>Н2</w:t>
      </w:r>
      <w:r w:rsidR="004546C5" w:rsidRPr="00020763">
        <w:rPr>
          <w:bCs/>
          <w:sz w:val="28"/>
          <w:szCs w:val="28"/>
        </w:rPr>
        <w:t xml:space="preserve"> та </w:t>
      </w:r>
      <w:r w:rsidR="002D55F1" w:rsidRPr="00020763">
        <w:rPr>
          <w:bCs/>
          <w:sz w:val="28"/>
          <w:szCs w:val="28"/>
        </w:rPr>
        <w:t>Н3, розраховані за результатами трьох етапів, були м</w:t>
      </w:r>
      <w:r w:rsidR="00FE0E48" w:rsidRPr="00020763">
        <w:rPr>
          <w:bCs/>
          <w:sz w:val="28"/>
          <w:szCs w:val="28"/>
        </w:rPr>
        <w:t>еншими</w:t>
      </w:r>
      <w:r w:rsidR="00E23AA5">
        <w:rPr>
          <w:bCs/>
          <w:sz w:val="28"/>
          <w:szCs w:val="28"/>
        </w:rPr>
        <w:t>,</w:t>
      </w:r>
      <w:r w:rsidR="00FE0E48" w:rsidRPr="00020763">
        <w:rPr>
          <w:bCs/>
          <w:sz w:val="28"/>
          <w:szCs w:val="28"/>
        </w:rPr>
        <w:t xml:space="preserve"> ніж граничні значення,</w:t>
      </w:r>
      <w:r w:rsidR="002D55F1" w:rsidRPr="00020763">
        <w:rPr>
          <w:bCs/>
          <w:sz w:val="28"/>
          <w:szCs w:val="28"/>
        </w:rPr>
        <w:t xml:space="preserve"> </w:t>
      </w:r>
      <w:r w:rsidR="004C6413">
        <w:rPr>
          <w:bCs/>
          <w:sz w:val="28"/>
          <w:szCs w:val="28"/>
        </w:rPr>
        <w:t>у</w:t>
      </w:r>
      <w:r w:rsidR="002D55F1" w:rsidRPr="00020763">
        <w:rPr>
          <w:bCs/>
          <w:sz w:val="28"/>
          <w:szCs w:val="28"/>
        </w:rPr>
        <w:t>становлені в Технічному завданні</w:t>
      </w:r>
      <w:r w:rsidR="002D55F1" w:rsidRPr="00020763">
        <w:rPr>
          <w:bCs/>
          <w:iCs/>
          <w:sz w:val="28"/>
          <w:szCs w:val="28"/>
          <w:shd w:val="clear" w:color="auto" w:fill="FFFFFF" w:themeFill="background1"/>
        </w:rPr>
        <w:t>;</w:t>
      </w:r>
    </w:p>
    <w:p w:rsidR="008131A5" w:rsidRPr="00020763" w:rsidRDefault="008131A5" w:rsidP="00020763">
      <w:pPr>
        <w:pStyle w:val="ParagraphNumbering"/>
        <w:shd w:val="clear" w:color="auto" w:fill="FFFFFF" w:themeFill="background1"/>
        <w:tabs>
          <w:tab w:val="left" w:pos="567"/>
          <w:tab w:val="left" w:pos="993"/>
        </w:tabs>
        <w:spacing w:after="0"/>
        <w:ind w:firstLine="567"/>
        <w:jc w:val="both"/>
        <w:rPr>
          <w:bCs/>
          <w:sz w:val="28"/>
          <w:szCs w:val="28"/>
          <w:shd w:val="clear" w:color="auto" w:fill="FFFFFF" w:themeFill="background1"/>
          <w:lang w:val="uk-UA"/>
        </w:rPr>
      </w:pPr>
    </w:p>
    <w:p w:rsidR="002D55F1" w:rsidRPr="00020763" w:rsidRDefault="008131A5" w:rsidP="00020763">
      <w:pPr>
        <w:pStyle w:val="ParagraphNumbering"/>
        <w:shd w:val="clear" w:color="auto" w:fill="FFFFFF" w:themeFill="background1"/>
        <w:tabs>
          <w:tab w:val="left" w:pos="567"/>
          <w:tab w:val="left" w:pos="993"/>
        </w:tabs>
        <w:spacing w:after="0"/>
        <w:ind w:firstLine="567"/>
        <w:jc w:val="both"/>
        <w:rPr>
          <w:bCs/>
          <w:sz w:val="28"/>
          <w:szCs w:val="28"/>
          <w:lang w:val="uk-UA"/>
        </w:rPr>
      </w:pPr>
      <w:r w:rsidRPr="00020763">
        <w:rPr>
          <w:bCs/>
          <w:sz w:val="28"/>
          <w:szCs w:val="28"/>
          <w:shd w:val="clear" w:color="auto" w:fill="FFFFFF" w:themeFill="background1"/>
          <w:lang w:val="uk-UA"/>
        </w:rPr>
        <w:t xml:space="preserve">2) </w:t>
      </w:r>
      <w:r w:rsidR="002D55F1" w:rsidRPr="00020763">
        <w:rPr>
          <w:bCs/>
          <w:sz w:val="28"/>
          <w:szCs w:val="28"/>
          <w:shd w:val="clear" w:color="auto" w:fill="FFFFFF" w:themeFill="background1"/>
          <w:lang w:val="uk-UA"/>
        </w:rPr>
        <w:t>підтримання необхідного рівня капіталу</w:t>
      </w:r>
      <w:r w:rsidR="008C2D95" w:rsidRPr="00020763">
        <w:rPr>
          <w:bCs/>
          <w:sz w:val="28"/>
          <w:szCs w:val="28"/>
          <w:shd w:val="clear" w:color="auto" w:fill="FFFFFF" w:themeFill="background1"/>
          <w:lang w:val="uk-UA"/>
        </w:rPr>
        <w:t xml:space="preserve">, визначеного Національним банком, </w:t>
      </w:r>
      <w:r w:rsidR="002D55F1" w:rsidRPr="00020763">
        <w:rPr>
          <w:bCs/>
          <w:sz w:val="28"/>
          <w:szCs w:val="28"/>
          <w:shd w:val="clear" w:color="auto" w:fill="FFFFFF" w:themeFill="background1"/>
          <w:lang w:val="uk-UA"/>
        </w:rPr>
        <w:t>–</w:t>
      </w:r>
      <w:r w:rsidR="00757C07" w:rsidRPr="00020763">
        <w:rPr>
          <w:bCs/>
          <w:sz w:val="28"/>
          <w:szCs w:val="28"/>
          <w:shd w:val="clear" w:color="auto" w:fill="FFFFFF" w:themeFill="background1"/>
          <w:lang w:val="uk-UA"/>
        </w:rPr>
        <w:t xml:space="preserve"> </w:t>
      </w:r>
      <w:r w:rsidR="003F3877" w:rsidRPr="00020763">
        <w:rPr>
          <w:bCs/>
          <w:iCs/>
          <w:sz w:val="28"/>
          <w:szCs w:val="28"/>
          <w:shd w:val="clear" w:color="auto" w:fill="FFFFFF" w:themeFill="background1"/>
          <w:lang w:val="uk-UA"/>
        </w:rPr>
        <w:t xml:space="preserve">якщо значення нормативів </w:t>
      </w:r>
      <w:r w:rsidR="003F3877" w:rsidRPr="00020763">
        <w:rPr>
          <w:bCs/>
          <w:sz w:val="28"/>
          <w:szCs w:val="28"/>
          <w:shd w:val="clear" w:color="auto" w:fill="FFFFFF" w:themeFill="background1"/>
          <w:lang w:val="uk-UA"/>
        </w:rPr>
        <w:t xml:space="preserve">Н2 та Н3, розраховані за результатами першого етапу, </w:t>
      </w:r>
      <w:r w:rsidR="00757C07" w:rsidRPr="00020763">
        <w:rPr>
          <w:bCs/>
          <w:sz w:val="28"/>
          <w:szCs w:val="28"/>
          <w:shd w:val="clear" w:color="auto" w:fill="FFFFFF" w:themeFill="background1"/>
          <w:lang w:val="uk-UA"/>
        </w:rPr>
        <w:t>знизилис</w:t>
      </w:r>
      <w:r w:rsidR="00E23AA5">
        <w:rPr>
          <w:bCs/>
          <w:sz w:val="28"/>
          <w:szCs w:val="28"/>
          <w:shd w:val="clear" w:color="auto" w:fill="FFFFFF" w:themeFill="background1"/>
          <w:lang w:val="uk-UA"/>
        </w:rPr>
        <w:t>я</w:t>
      </w:r>
      <w:r w:rsidR="00757C07" w:rsidRPr="00020763">
        <w:rPr>
          <w:bCs/>
          <w:sz w:val="28"/>
          <w:szCs w:val="28"/>
          <w:shd w:val="clear" w:color="auto" w:fill="FFFFFF" w:themeFill="background1"/>
          <w:lang w:val="uk-UA"/>
        </w:rPr>
        <w:t xml:space="preserve">, але не </w:t>
      </w:r>
      <w:r w:rsidR="003F3877" w:rsidRPr="00020763">
        <w:rPr>
          <w:bCs/>
          <w:sz w:val="28"/>
          <w:szCs w:val="28"/>
          <w:shd w:val="clear" w:color="auto" w:fill="FFFFFF" w:themeFill="background1"/>
          <w:lang w:val="uk-UA"/>
        </w:rPr>
        <w:t xml:space="preserve">були </w:t>
      </w:r>
      <w:r w:rsidR="00757C07" w:rsidRPr="00020763">
        <w:rPr>
          <w:bCs/>
          <w:sz w:val="28"/>
          <w:szCs w:val="28"/>
          <w:shd w:val="clear" w:color="auto" w:fill="FFFFFF" w:themeFill="background1"/>
          <w:lang w:val="uk-UA"/>
        </w:rPr>
        <w:t>меншими</w:t>
      </w:r>
      <w:r w:rsidR="00E23AA5">
        <w:rPr>
          <w:bCs/>
          <w:sz w:val="28"/>
          <w:szCs w:val="28"/>
          <w:shd w:val="clear" w:color="auto" w:fill="FFFFFF" w:themeFill="background1"/>
          <w:lang w:val="uk-UA"/>
        </w:rPr>
        <w:t>,</w:t>
      </w:r>
      <w:r w:rsidR="00757C07" w:rsidRPr="00020763">
        <w:rPr>
          <w:bCs/>
          <w:sz w:val="28"/>
          <w:szCs w:val="28"/>
          <w:shd w:val="clear" w:color="auto" w:fill="FFFFFF" w:themeFill="background1"/>
          <w:lang w:val="uk-UA"/>
        </w:rPr>
        <w:t xml:space="preserve"> </w:t>
      </w:r>
      <w:r w:rsidR="003F3877" w:rsidRPr="00020763">
        <w:rPr>
          <w:bCs/>
          <w:sz w:val="28"/>
          <w:szCs w:val="28"/>
          <w:shd w:val="clear" w:color="auto" w:fill="FFFFFF" w:themeFill="background1"/>
          <w:lang w:val="uk-UA"/>
        </w:rPr>
        <w:t xml:space="preserve">ніж нормативні </w:t>
      </w:r>
      <w:r w:rsidR="003F3877" w:rsidRPr="00020763">
        <w:rPr>
          <w:bCs/>
          <w:sz w:val="28"/>
          <w:szCs w:val="28"/>
          <w:lang w:val="uk-UA"/>
        </w:rPr>
        <w:t>значення</w:t>
      </w:r>
      <w:r w:rsidR="00757C07" w:rsidRPr="00020763">
        <w:rPr>
          <w:bCs/>
          <w:sz w:val="28"/>
          <w:szCs w:val="28"/>
          <w:lang w:val="uk-UA"/>
        </w:rPr>
        <w:t>,</w:t>
      </w:r>
      <w:r w:rsidR="003F3877" w:rsidRPr="00020763">
        <w:rPr>
          <w:bCs/>
          <w:sz w:val="28"/>
          <w:szCs w:val="28"/>
          <w:lang w:val="uk-UA"/>
        </w:rPr>
        <w:t xml:space="preserve"> та/або </w:t>
      </w:r>
      <w:r w:rsidR="003F3877" w:rsidRPr="00020763">
        <w:rPr>
          <w:bCs/>
          <w:iCs/>
          <w:sz w:val="28"/>
          <w:szCs w:val="28"/>
          <w:lang w:val="uk-UA"/>
        </w:rPr>
        <w:t xml:space="preserve">якщо значення нормативів </w:t>
      </w:r>
      <w:r w:rsidR="003F3877" w:rsidRPr="00020763">
        <w:rPr>
          <w:bCs/>
          <w:sz w:val="28"/>
          <w:szCs w:val="28"/>
          <w:lang w:val="uk-UA"/>
        </w:rPr>
        <w:t xml:space="preserve">Н2 та Н3, розраховані за результатами трьох етапів, </w:t>
      </w:r>
      <w:r w:rsidR="00757C07" w:rsidRPr="00020763">
        <w:rPr>
          <w:bCs/>
          <w:sz w:val="28"/>
          <w:szCs w:val="28"/>
          <w:lang w:val="uk-UA"/>
        </w:rPr>
        <w:t>знизилис</w:t>
      </w:r>
      <w:r w:rsidR="00E23AA5">
        <w:rPr>
          <w:bCs/>
          <w:sz w:val="28"/>
          <w:szCs w:val="28"/>
          <w:lang w:val="uk-UA"/>
        </w:rPr>
        <w:t>я</w:t>
      </w:r>
      <w:r w:rsidR="00757C07" w:rsidRPr="00020763">
        <w:rPr>
          <w:bCs/>
          <w:sz w:val="28"/>
          <w:szCs w:val="28"/>
          <w:lang w:val="uk-UA"/>
        </w:rPr>
        <w:t xml:space="preserve">, але не </w:t>
      </w:r>
      <w:r w:rsidR="003F3877" w:rsidRPr="00020763">
        <w:rPr>
          <w:bCs/>
          <w:sz w:val="28"/>
          <w:szCs w:val="28"/>
          <w:lang w:val="uk-UA"/>
        </w:rPr>
        <w:t xml:space="preserve">були </w:t>
      </w:r>
      <w:r w:rsidR="00757C07" w:rsidRPr="00020763">
        <w:rPr>
          <w:bCs/>
          <w:sz w:val="28"/>
          <w:szCs w:val="28"/>
          <w:lang w:val="uk-UA"/>
        </w:rPr>
        <w:t>меншими</w:t>
      </w:r>
      <w:r w:rsidR="00E23AA5">
        <w:rPr>
          <w:bCs/>
          <w:sz w:val="28"/>
          <w:szCs w:val="28"/>
          <w:lang w:val="uk-UA"/>
        </w:rPr>
        <w:t>,</w:t>
      </w:r>
      <w:r w:rsidR="00757C07" w:rsidRPr="00020763">
        <w:rPr>
          <w:bCs/>
          <w:sz w:val="28"/>
          <w:szCs w:val="28"/>
          <w:lang w:val="uk-UA"/>
        </w:rPr>
        <w:t xml:space="preserve"> </w:t>
      </w:r>
      <w:r w:rsidR="003F3877" w:rsidRPr="00020763">
        <w:rPr>
          <w:bCs/>
          <w:sz w:val="28"/>
          <w:szCs w:val="28"/>
          <w:lang w:val="uk-UA"/>
        </w:rPr>
        <w:t xml:space="preserve">ніж граничні значення, </w:t>
      </w:r>
      <w:r w:rsidR="004C6413">
        <w:rPr>
          <w:bCs/>
          <w:sz w:val="28"/>
          <w:szCs w:val="28"/>
          <w:lang w:val="uk-UA"/>
        </w:rPr>
        <w:t>у</w:t>
      </w:r>
      <w:r w:rsidR="003F3877" w:rsidRPr="00020763">
        <w:rPr>
          <w:bCs/>
          <w:sz w:val="28"/>
          <w:szCs w:val="28"/>
          <w:lang w:val="uk-UA"/>
        </w:rPr>
        <w:t>становлені в Технічному завданні</w:t>
      </w:r>
      <w:r w:rsidR="001C2A90" w:rsidRPr="00020763">
        <w:rPr>
          <w:bCs/>
          <w:sz w:val="28"/>
          <w:szCs w:val="28"/>
          <w:lang w:val="uk-UA"/>
        </w:rPr>
        <w:t>.</w:t>
      </w:r>
    </w:p>
    <w:p w:rsidR="00DE00F2" w:rsidRPr="00020763" w:rsidRDefault="00DE00F2" w:rsidP="00020763">
      <w:pPr>
        <w:pStyle w:val="ParagraphNumbering"/>
        <w:shd w:val="clear" w:color="auto" w:fill="FFFFFF" w:themeFill="background1"/>
        <w:tabs>
          <w:tab w:val="left" w:pos="567"/>
          <w:tab w:val="left" w:pos="993"/>
        </w:tabs>
        <w:spacing w:after="0"/>
        <w:ind w:firstLine="567"/>
        <w:jc w:val="both"/>
        <w:rPr>
          <w:bCs/>
          <w:sz w:val="28"/>
          <w:szCs w:val="28"/>
          <w:lang w:val="uk-UA"/>
        </w:rPr>
      </w:pPr>
    </w:p>
    <w:p w:rsidR="008C6977" w:rsidRPr="00020763" w:rsidRDefault="00D50C8C" w:rsidP="00020763">
      <w:pPr>
        <w:pStyle w:val="ParagraphNumbering"/>
        <w:tabs>
          <w:tab w:val="left" w:pos="567"/>
          <w:tab w:val="left" w:pos="993"/>
        </w:tabs>
        <w:spacing w:after="0"/>
        <w:ind w:firstLine="567"/>
        <w:jc w:val="both"/>
        <w:rPr>
          <w:sz w:val="28"/>
          <w:szCs w:val="28"/>
          <w:lang w:val="uk-UA"/>
        </w:rPr>
      </w:pPr>
      <w:r w:rsidRPr="00020763">
        <w:rPr>
          <w:sz w:val="28"/>
          <w:szCs w:val="28"/>
          <w:lang w:val="uk-UA"/>
        </w:rPr>
        <w:t>30</w:t>
      </w:r>
      <w:r w:rsidR="00E0473E" w:rsidRPr="00020763">
        <w:rPr>
          <w:sz w:val="28"/>
          <w:szCs w:val="28"/>
          <w:lang w:val="uk-UA"/>
        </w:rPr>
        <w:t xml:space="preserve">. </w:t>
      </w:r>
      <w:r w:rsidR="001C2A90" w:rsidRPr="00020763">
        <w:rPr>
          <w:sz w:val="28"/>
          <w:szCs w:val="28"/>
          <w:lang w:val="uk-UA"/>
        </w:rPr>
        <w:t>Необхідні рівні</w:t>
      </w:r>
      <w:r w:rsidR="008C6977" w:rsidRPr="00020763">
        <w:rPr>
          <w:sz w:val="28"/>
          <w:szCs w:val="28"/>
          <w:lang w:val="uk-UA"/>
        </w:rPr>
        <w:t xml:space="preserve"> нормативів достатності капіталу банків, яким Національний банк за результатами оцінки стійкості не надіслав вимог</w:t>
      </w:r>
      <w:r w:rsidR="00E23AA5">
        <w:rPr>
          <w:sz w:val="28"/>
          <w:szCs w:val="28"/>
          <w:lang w:val="uk-UA"/>
        </w:rPr>
        <w:t>и</w:t>
      </w:r>
      <w:r w:rsidR="008C6977" w:rsidRPr="00020763">
        <w:rPr>
          <w:sz w:val="28"/>
          <w:szCs w:val="28"/>
          <w:lang w:val="uk-UA"/>
        </w:rPr>
        <w:t xml:space="preserve"> про складання програми капіталізації/реструктуризації, зазначен</w:t>
      </w:r>
      <w:r w:rsidR="00E23AA5">
        <w:rPr>
          <w:sz w:val="28"/>
          <w:szCs w:val="28"/>
          <w:lang w:val="uk-UA"/>
        </w:rPr>
        <w:t>ої</w:t>
      </w:r>
      <w:r w:rsidR="008C6977" w:rsidRPr="00020763">
        <w:rPr>
          <w:sz w:val="28"/>
          <w:szCs w:val="28"/>
          <w:lang w:val="uk-UA"/>
        </w:rPr>
        <w:t xml:space="preserve"> в пункті 2</w:t>
      </w:r>
      <w:r w:rsidRPr="00020763">
        <w:rPr>
          <w:sz w:val="28"/>
          <w:szCs w:val="28"/>
          <w:lang w:val="uk-UA"/>
        </w:rPr>
        <w:t>9</w:t>
      </w:r>
      <w:r w:rsidR="001C2A90" w:rsidRPr="00020763">
        <w:rPr>
          <w:sz w:val="28"/>
          <w:szCs w:val="28"/>
          <w:lang w:val="uk-UA"/>
        </w:rPr>
        <w:t xml:space="preserve"> розділу </w:t>
      </w:r>
      <w:r w:rsidRPr="00020763">
        <w:rPr>
          <w:sz w:val="28"/>
          <w:szCs w:val="28"/>
          <w:lang w:val="uk-UA"/>
        </w:rPr>
        <w:t>I</w:t>
      </w:r>
      <w:r w:rsidRPr="00020763">
        <w:rPr>
          <w:sz w:val="28"/>
          <w:szCs w:val="28"/>
        </w:rPr>
        <w:t>V</w:t>
      </w:r>
      <w:r w:rsidRPr="00020763">
        <w:rPr>
          <w:sz w:val="28"/>
          <w:szCs w:val="28"/>
          <w:lang w:val="uk-UA"/>
        </w:rPr>
        <w:t xml:space="preserve"> </w:t>
      </w:r>
      <w:r w:rsidR="001C2A90" w:rsidRPr="00020763">
        <w:rPr>
          <w:sz w:val="28"/>
          <w:szCs w:val="28"/>
          <w:lang w:val="uk-UA"/>
        </w:rPr>
        <w:t>цих Правил, вважаю</w:t>
      </w:r>
      <w:r w:rsidR="008C6977" w:rsidRPr="00020763">
        <w:rPr>
          <w:sz w:val="28"/>
          <w:szCs w:val="28"/>
          <w:lang w:val="uk-UA"/>
        </w:rPr>
        <w:t>ться таким</w:t>
      </w:r>
      <w:r w:rsidR="001C2A90" w:rsidRPr="00020763">
        <w:rPr>
          <w:sz w:val="28"/>
          <w:szCs w:val="28"/>
          <w:lang w:val="uk-UA"/>
        </w:rPr>
        <w:t>и, що відповідають</w:t>
      </w:r>
      <w:r w:rsidR="008C6977" w:rsidRPr="00020763">
        <w:rPr>
          <w:sz w:val="28"/>
          <w:szCs w:val="28"/>
          <w:lang w:val="uk-UA"/>
        </w:rPr>
        <w:t xml:space="preserve"> нормативним значенням, установленим Національним банком.</w:t>
      </w:r>
    </w:p>
    <w:p w:rsidR="003F4FF4" w:rsidRPr="00020763" w:rsidRDefault="003F4FF4" w:rsidP="00020763">
      <w:pPr>
        <w:pStyle w:val="ParagraphNumbering"/>
        <w:tabs>
          <w:tab w:val="left" w:pos="567"/>
          <w:tab w:val="left" w:pos="993"/>
        </w:tabs>
        <w:spacing w:after="0"/>
        <w:ind w:firstLine="567"/>
        <w:jc w:val="both"/>
        <w:rPr>
          <w:sz w:val="28"/>
          <w:szCs w:val="28"/>
          <w:lang w:val="uk-UA"/>
        </w:rPr>
      </w:pPr>
    </w:p>
    <w:p w:rsidR="00BF1AA3" w:rsidRPr="00020763" w:rsidRDefault="00D50C8C" w:rsidP="00020763">
      <w:pPr>
        <w:tabs>
          <w:tab w:val="left" w:pos="709"/>
          <w:tab w:val="left" w:pos="900"/>
          <w:tab w:val="left" w:pos="1080"/>
          <w:tab w:val="left" w:pos="1260"/>
        </w:tabs>
        <w:ind w:firstLine="567"/>
      </w:pPr>
      <w:bookmarkStart w:id="4" w:name="_Hlk130994766"/>
      <w:bookmarkStart w:id="5" w:name="_Hlk130994790"/>
      <w:r w:rsidRPr="00020763">
        <w:rPr>
          <w:lang w:val="ru-RU"/>
        </w:rPr>
        <w:t>31</w:t>
      </w:r>
      <w:r w:rsidR="000B5B31" w:rsidRPr="00020763">
        <w:t xml:space="preserve">. </w:t>
      </w:r>
      <w:r w:rsidR="00E725F7" w:rsidRPr="00020763">
        <w:t>Банк, що отрима</w:t>
      </w:r>
      <w:r w:rsidR="00EE4747" w:rsidRPr="00020763">
        <w:t>в</w:t>
      </w:r>
      <w:r w:rsidR="00E725F7" w:rsidRPr="00020763">
        <w:t xml:space="preserve"> вимогу Національного банку</w:t>
      </w:r>
      <w:r w:rsidR="00361153" w:rsidRPr="00020763">
        <w:t xml:space="preserve"> про складання програми капіталізації/реструктуризації</w:t>
      </w:r>
      <w:r w:rsidR="00E725F7" w:rsidRPr="00020763">
        <w:t xml:space="preserve">, зазначену в пункті </w:t>
      </w:r>
      <w:r w:rsidR="001A18E3" w:rsidRPr="00020763">
        <w:t>2</w:t>
      </w:r>
      <w:r w:rsidRPr="00020763">
        <w:rPr>
          <w:lang w:val="ru-RU"/>
        </w:rPr>
        <w:t>9</w:t>
      </w:r>
      <w:r w:rsidR="00E725F7" w:rsidRPr="00020763">
        <w:t xml:space="preserve"> розділу </w:t>
      </w:r>
      <w:r w:rsidRPr="00020763">
        <w:t>I</w:t>
      </w:r>
      <w:r w:rsidRPr="00020763">
        <w:rPr>
          <w:lang w:val="en-US"/>
        </w:rPr>
        <w:t>V</w:t>
      </w:r>
      <w:r w:rsidRPr="00020763">
        <w:t xml:space="preserve"> </w:t>
      </w:r>
      <w:r w:rsidR="00E725F7" w:rsidRPr="00020763">
        <w:t>цих</w:t>
      </w:r>
      <w:r w:rsidR="008C6977" w:rsidRPr="00020763">
        <w:t xml:space="preserve"> Правил, </w:t>
      </w:r>
      <w:r w:rsidR="00E725F7" w:rsidRPr="00020763">
        <w:rPr>
          <w:bCs/>
        </w:rPr>
        <w:t xml:space="preserve">протягом </w:t>
      </w:r>
      <w:r w:rsidR="008C6977" w:rsidRPr="00020763">
        <w:rPr>
          <w:bCs/>
        </w:rPr>
        <w:t>60 календарних днів</w:t>
      </w:r>
      <w:r w:rsidR="00E725F7" w:rsidRPr="00020763">
        <w:rPr>
          <w:bCs/>
        </w:rPr>
        <w:t xml:space="preserve"> </w:t>
      </w:r>
      <w:r w:rsidR="00A70C74" w:rsidRPr="00020763">
        <w:rPr>
          <w:bCs/>
        </w:rPr>
        <w:t>і</w:t>
      </w:r>
      <w:r w:rsidR="00B05C21" w:rsidRPr="00020763">
        <w:rPr>
          <w:bCs/>
        </w:rPr>
        <w:t>з дня</w:t>
      </w:r>
      <w:r w:rsidR="00E725F7" w:rsidRPr="00020763">
        <w:rPr>
          <w:bCs/>
        </w:rPr>
        <w:t xml:space="preserve"> отримання </w:t>
      </w:r>
      <w:r w:rsidR="00C81F2C" w:rsidRPr="00020763">
        <w:rPr>
          <w:bCs/>
        </w:rPr>
        <w:t xml:space="preserve">такої </w:t>
      </w:r>
      <w:r w:rsidR="00E725F7" w:rsidRPr="00020763">
        <w:rPr>
          <w:bCs/>
        </w:rPr>
        <w:t>вимоги</w:t>
      </w:r>
      <w:r w:rsidR="00E725F7" w:rsidRPr="00020763">
        <w:t xml:space="preserve"> пода</w:t>
      </w:r>
      <w:r w:rsidR="00EE4747" w:rsidRPr="00020763">
        <w:t>є</w:t>
      </w:r>
      <w:r w:rsidR="00E725F7" w:rsidRPr="00020763">
        <w:t xml:space="preserve"> до Національного банку</w:t>
      </w:r>
      <w:r w:rsidR="007113F4" w:rsidRPr="00020763">
        <w:t xml:space="preserve"> </w:t>
      </w:r>
      <w:r w:rsidR="00E725F7" w:rsidRPr="00020763">
        <w:t>програму капіталізації/реструктуризації, складену згідно з вимогами</w:t>
      </w:r>
      <w:r w:rsidR="008E1E64" w:rsidRPr="00020763">
        <w:t xml:space="preserve"> до складання банком програми капіталізації/реструктуризації</w:t>
      </w:r>
      <w:r w:rsidR="00E725F7" w:rsidRPr="00020763">
        <w:t xml:space="preserve">, </w:t>
      </w:r>
      <w:r w:rsidR="00A93EBA" w:rsidRPr="00020763">
        <w:t>установленими в додатку до цих Правил</w:t>
      </w:r>
      <w:r w:rsidR="007113F4" w:rsidRPr="00020763">
        <w:t>.</w:t>
      </w:r>
    </w:p>
    <w:p w:rsidR="004D5E83" w:rsidRPr="00020763" w:rsidRDefault="004D5E83" w:rsidP="00020763">
      <w:pPr>
        <w:tabs>
          <w:tab w:val="left" w:pos="709"/>
          <w:tab w:val="left" w:pos="993"/>
        </w:tabs>
        <w:ind w:firstLine="567"/>
      </w:pPr>
      <w:r w:rsidRPr="00020763">
        <w:t xml:space="preserve">Банки, які здійснюють свою діяльність згідно з планами фінансового оздоровлення/планами заходів, письмовими угодами, укладеними з Національним банком, що передбачають заходи стосовно капіталізації, подають програму капіталізації/реструктуризації в </w:t>
      </w:r>
      <w:r w:rsidR="00DC6FB5" w:rsidRPr="00020763">
        <w:t>строк та згідно з вимогами, установленими</w:t>
      </w:r>
      <w:r w:rsidRPr="00020763">
        <w:t xml:space="preserve"> </w:t>
      </w:r>
      <w:r w:rsidR="00E23AA5">
        <w:t xml:space="preserve">в </w:t>
      </w:r>
      <w:r w:rsidRPr="00020763">
        <w:t>пункт</w:t>
      </w:r>
      <w:r w:rsidR="00E23AA5">
        <w:t>і</w:t>
      </w:r>
      <w:r w:rsidR="00FB5C67" w:rsidRPr="00020763">
        <w:t xml:space="preserve"> </w:t>
      </w:r>
      <w:r w:rsidR="00D50C8C" w:rsidRPr="00020763">
        <w:rPr>
          <w:lang w:val="ru-RU"/>
        </w:rPr>
        <w:t>31</w:t>
      </w:r>
      <w:r w:rsidR="00FB5C67" w:rsidRPr="00020763">
        <w:t xml:space="preserve"> розділу </w:t>
      </w:r>
      <w:r w:rsidR="00D50C8C" w:rsidRPr="00020763">
        <w:t>I</w:t>
      </w:r>
      <w:r w:rsidR="00D50C8C" w:rsidRPr="00020763">
        <w:rPr>
          <w:lang w:val="en-US"/>
        </w:rPr>
        <w:t>V</w:t>
      </w:r>
      <w:r w:rsidR="00D50C8C" w:rsidRPr="00020763" w:rsidDel="00D50C8C">
        <w:t xml:space="preserve"> </w:t>
      </w:r>
      <w:r w:rsidR="00FB5C67" w:rsidRPr="00020763">
        <w:t>цих Правил</w:t>
      </w:r>
      <w:r w:rsidR="00DC6FB5" w:rsidRPr="00020763">
        <w:t>,</w:t>
      </w:r>
      <w:r w:rsidRPr="00020763">
        <w:t xml:space="preserve"> та за потреби оновлюють діючі плани/угоди.</w:t>
      </w:r>
    </w:p>
    <w:p w:rsidR="009A5CAE" w:rsidRPr="00020763" w:rsidRDefault="009A5CAE" w:rsidP="00020763">
      <w:pPr>
        <w:tabs>
          <w:tab w:val="left" w:pos="709"/>
          <w:tab w:val="left" w:pos="993"/>
        </w:tabs>
        <w:ind w:firstLine="567"/>
      </w:pPr>
    </w:p>
    <w:bookmarkEnd w:id="4"/>
    <w:bookmarkEnd w:id="5"/>
    <w:p w:rsidR="00D7041D" w:rsidRPr="00020763" w:rsidRDefault="00D50C8C" w:rsidP="00020763">
      <w:pPr>
        <w:pStyle w:val="ParagraphNumbering"/>
        <w:tabs>
          <w:tab w:val="left" w:pos="567"/>
          <w:tab w:val="left" w:pos="993"/>
        </w:tabs>
        <w:spacing w:after="0"/>
        <w:ind w:firstLine="567"/>
        <w:jc w:val="both"/>
        <w:rPr>
          <w:strike/>
          <w:sz w:val="28"/>
          <w:szCs w:val="28"/>
          <w:lang w:val="uk-UA"/>
        </w:rPr>
      </w:pPr>
      <w:r w:rsidRPr="00020763">
        <w:rPr>
          <w:sz w:val="28"/>
          <w:szCs w:val="28"/>
          <w:lang w:val="ru-RU"/>
        </w:rPr>
        <w:t>32</w:t>
      </w:r>
      <w:r w:rsidR="000B5B31" w:rsidRPr="00020763">
        <w:rPr>
          <w:sz w:val="28"/>
          <w:szCs w:val="28"/>
          <w:lang w:val="uk-UA"/>
        </w:rPr>
        <w:t xml:space="preserve">. </w:t>
      </w:r>
      <w:r w:rsidR="00D7041D" w:rsidRPr="00020763">
        <w:rPr>
          <w:sz w:val="28"/>
          <w:szCs w:val="28"/>
          <w:lang w:val="uk-UA"/>
        </w:rPr>
        <w:t xml:space="preserve">Національний банк </w:t>
      </w:r>
      <w:r w:rsidR="00384703" w:rsidRPr="00020763">
        <w:rPr>
          <w:sz w:val="28"/>
          <w:szCs w:val="28"/>
          <w:lang w:val="uk-UA"/>
        </w:rPr>
        <w:t xml:space="preserve">протягом 45 календарних днів </w:t>
      </w:r>
      <w:r w:rsidR="00A70C74" w:rsidRPr="00020763">
        <w:rPr>
          <w:sz w:val="28"/>
          <w:szCs w:val="28"/>
          <w:lang w:val="uk-UA"/>
        </w:rPr>
        <w:t>і</w:t>
      </w:r>
      <w:r w:rsidR="00384703" w:rsidRPr="00020763">
        <w:rPr>
          <w:bCs/>
          <w:sz w:val="28"/>
          <w:szCs w:val="28"/>
          <w:lang w:val="ru-RU"/>
        </w:rPr>
        <w:t xml:space="preserve">з дня </w:t>
      </w:r>
      <w:r w:rsidR="00384703" w:rsidRPr="00020763">
        <w:rPr>
          <w:bCs/>
          <w:sz w:val="28"/>
          <w:szCs w:val="28"/>
          <w:lang w:val="uk-UA"/>
        </w:rPr>
        <w:t xml:space="preserve">отримання </w:t>
      </w:r>
      <w:r w:rsidR="00384703" w:rsidRPr="00020763">
        <w:rPr>
          <w:sz w:val="28"/>
          <w:szCs w:val="28"/>
          <w:lang w:val="uk-UA"/>
        </w:rPr>
        <w:t xml:space="preserve">програми капіталізації/реструктуризації банку розглядає та за </w:t>
      </w:r>
      <w:r w:rsidR="00A00798" w:rsidRPr="00020763">
        <w:rPr>
          <w:sz w:val="28"/>
          <w:szCs w:val="28"/>
          <w:lang w:val="uk-UA"/>
        </w:rPr>
        <w:t>умови</w:t>
      </w:r>
      <w:r w:rsidR="00530A2B" w:rsidRPr="00020763">
        <w:rPr>
          <w:sz w:val="28"/>
          <w:szCs w:val="28"/>
          <w:lang w:val="uk-UA"/>
        </w:rPr>
        <w:t xml:space="preserve"> </w:t>
      </w:r>
      <w:r w:rsidR="00A00798" w:rsidRPr="00020763">
        <w:rPr>
          <w:sz w:val="28"/>
          <w:szCs w:val="28"/>
          <w:lang w:val="uk-UA"/>
        </w:rPr>
        <w:t>відповідності</w:t>
      </w:r>
      <w:r w:rsidR="00530A2B" w:rsidRPr="00020763">
        <w:rPr>
          <w:sz w:val="28"/>
          <w:szCs w:val="28"/>
          <w:lang w:val="uk-UA"/>
        </w:rPr>
        <w:t xml:space="preserve"> </w:t>
      </w:r>
      <w:r w:rsidR="00571386" w:rsidRPr="00020763">
        <w:rPr>
          <w:sz w:val="28"/>
          <w:szCs w:val="28"/>
          <w:lang w:val="uk-UA"/>
        </w:rPr>
        <w:t>вимогам</w:t>
      </w:r>
      <w:r w:rsidR="000F3BFD" w:rsidRPr="00020763">
        <w:rPr>
          <w:sz w:val="28"/>
          <w:szCs w:val="28"/>
          <w:lang w:val="uk-UA"/>
        </w:rPr>
        <w:t>, у</w:t>
      </w:r>
      <w:r w:rsidR="00530A2B" w:rsidRPr="00020763">
        <w:rPr>
          <w:sz w:val="28"/>
          <w:szCs w:val="28"/>
          <w:lang w:val="uk-UA"/>
        </w:rPr>
        <w:t>стан</w:t>
      </w:r>
      <w:r w:rsidR="00384703" w:rsidRPr="00020763">
        <w:rPr>
          <w:sz w:val="28"/>
          <w:szCs w:val="28"/>
          <w:lang w:val="uk-UA"/>
        </w:rPr>
        <w:t>овленим у додатку до цих Правил, погоджує її</w:t>
      </w:r>
      <w:r w:rsidR="00C32536" w:rsidRPr="00020763">
        <w:rPr>
          <w:sz w:val="28"/>
          <w:szCs w:val="28"/>
          <w:lang w:val="uk-UA"/>
        </w:rPr>
        <w:t>.</w:t>
      </w:r>
      <w:r w:rsidR="00D7041D" w:rsidRPr="00020763">
        <w:rPr>
          <w:strike/>
          <w:sz w:val="28"/>
          <w:szCs w:val="28"/>
          <w:lang w:val="uk-UA"/>
        </w:rPr>
        <w:t xml:space="preserve"> </w:t>
      </w:r>
    </w:p>
    <w:p w:rsidR="000B5B31" w:rsidRPr="00020763" w:rsidRDefault="000B5B31" w:rsidP="00020763">
      <w:pPr>
        <w:pStyle w:val="ParagraphNumbering"/>
        <w:tabs>
          <w:tab w:val="left" w:pos="567"/>
          <w:tab w:val="left" w:pos="993"/>
        </w:tabs>
        <w:spacing w:after="0"/>
        <w:ind w:firstLine="567"/>
        <w:jc w:val="both"/>
        <w:rPr>
          <w:sz w:val="28"/>
          <w:szCs w:val="28"/>
          <w:lang w:val="uk-UA"/>
        </w:rPr>
      </w:pPr>
      <w:r w:rsidRPr="00020763">
        <w:rPr>
          <w:bCs/>
          <w:sz w:val="28"/>
          <w:szCs w:val="28"/>
          <w:lang w:val="uk-UA"/>
        </w:rPr>
        <w:t xml:space="preserve">Національний банк у разі </w:t>
      </w:r>
      <w:r w:rsidR="00530A2B" w:rsidRPr="00020763">
        <w:rPr>
          <w:bCs/>
          <w:sz w:val="28"/>
          <w:szCs w:val="28"/>
          <w:lang w:val="uk-UA"/>
        </w:rPr>
        <w:t xml:space="preserve">невідповідності поданої банком </w:t>
      </w:r>
      <w:r w:rsidR="00530A2B" w:rsidRPr="00020763">
        <w:rPr>
          <w:sz w:val="28"/>
          <w:szCs w:val="28"/>
          <w:lang w:val="uk-UA"/>
        </w:rPr>
        <w:t>програми капіталізації/реструктуризації встановленим вимогам</w:t>
      </w:r>
      <w:r w:rsidR="0020001E" w:rsidRPr="00020763">
        <w:rPr>
          <w:sz w:val="28"/>
          <w:szCs w:val="28"/>
          <w:lang w:val="uk-UA"/>
        </w:rPr>
        <w:t xml:space="preserve"> має право вимагати від банку </w:t>
      </w:r>
      <w:r w:rsidR="00530A2B" w:rsidRPr="00020763">
        <w:rPr>
          <w:sz w:val="28"/>
          <w:szCs w:val="28"/>
          <w:lang w:val="uk-UA"/>
        </w:rPr>
        <w:t xml:space="preserve">її </w:t>
      </w:r>
      <w:r w:rsidR="0020001E" w:rsidRPr="00020763">
        <w:rPr>
          <w:sz w:val="28"/>
          <w:szCs w:val="28"/>
          <w:lang w:val="uk-UA"/>
        </w:rPr>
        <w:t>доопрацювання</w:t>
      </w:r>
      <w:r w:rsidR="00FB4D92" w:rsidRPr="00020763">
        <w:rPr>
          <w:sz w:val="28"/>
          <w:szCs w:val="28"/>
          <w:lang w:val="uk-UA"/>
        </w:rPr>
        <w:t xml:space="preserve"> з урахуванням </w:t>
      </w:r>
      <w:r w:rsidR="004C7DC1" w:rsidRPr="00020763">
        <w:rPr>
          <w:sz w:val="28"/>
          <w:szCs w:val="28"/>
          <w:lang w:val="uk-UA"/>
        </w:rPr>
        <w:t xml:space="preserve">наданих </w:t>
      </w:r>
      <w:r w:rsidR="004C7DC1" w:rsidRPr="00020763">
        <w:rPr>
          <w:bCs/>
          <w:sz w:val="28"/>
          <w:szCs w:val="28"/>
          <w:lang w:val="uk-UA"/>
        </w:rPr>
        <w:t>Національним банком</w:t>
      </w:r>
      <w:r w:rsidR="004C7DC1" w:rsidRPr="00020763">
        <w:rPr>
          <w:sz w:val="28"/>
          <w:szCs w:val="28"/>
          <w:lang w:val="uk-UA"/>
        </w:rPr>
        <w:t xml:space="preserve"> </w:t>
      </w:r>
      <w:r w:rsidR="00FB4D92" w:rsidRPr="00020763">
        <w:rPr>
          <w:sz w:val="28"/>
          <w:szCs w:val="28"/>
          <w:lang w:val="uk-UA"/>
        </w:rPr>
        <w:t>обґрунтованих</w:t>
      </w:r>
      <w:r w:rsidR="00FB4D92" w:rsidRPr="00020763">
        <w:rPr>
          <w:bCs/>
          <w:sz w:val="28"/>
          <w:szCs w:val="28"/>
          <w:lang w:val="uk-UA"/>
        </w:rPr>
        <w:t xml:space="preserve"> зауважень</w:t>
      </w:r>
      <w:r w:rsidR="0020001E" w:rsidRPr="00020763">
        <w:rPr>
          <w:sz w:val="28"/>
          <w:szCs w:val="28"/>
          <w:lang w:val="uk-UA"/>
        </w:rPr>
        <w:t xml:space="preserve">. </w:t>
      </w:r>
    </w:p>
    <w:p w:rsidR="00384703" w:rsidRPr="00020763" w:rsidRDefault="00384703" w:rsidP="00020763">
      <w:pPr>
        <w:pStyle w:val="ParagraphNumbering"/>
        <w:tabs>
          <w:tab w:val="left" w:pos="567"/>
          <w:tab w:val="left" w:pos="993"/>
        </w:tabs>
        <w:spacing w:after="0"/>
        <w:ind w:firstLine="567"/>
        <w:jc w:val="both"/>
        <w:rPr>
          <w:bCs/>
          <w:strike/>
          <w:sz w:val="28"/>
          <w:szCs w:val="28"/>
          <w:lang w:val="uk-UA"/>
        </w:rPr>
      </w:pPr>
      <w:r w:rsidRPr="00020763">
        <w:rPr>
          <w:sz w:val="28"/>
          <w:szCs w:val="28"/>
          <w:lang w:val="uk-UA"/>
        </w:rPr>
        <w:t xml:space="preserve">Національний банк протягом 30 календарних днів </w:t>
      </w:r>
      <w:r w:rsidR="00A70C74" w:rsidRPr="00020763">
        <w:rPr>
          <w:sz w:val="28"/>
          <w:szCs w:val="28"/>
          <w:lang w:val="uk-UA"/>
        </w:rPr>
        <w:t>і</w:t>
      </w:r>
      <w:r w:rsidRPr="00020763">
        <w:rPr>
          <w:bCs/>
          <w:sz w:val="28"/>
          <w:szCs w:val="28"/>
          <w:lang w:val="uk-UA"/>
        </w:rPr>
        <w:t xml:space="preserve">з дня отримання доопрацьованої </w:t>
      </w:r>
      <w:r w:rsidRPr="00020763">
        <w:rPr>
          <w:sz w:val="28"/>
          <w:szCs w:val="28"/>
          <w:lang w:val="uk-UA"/>
        </w:rPr>
        <w:t>програми капіталізації/реструктуризації банку розглядає та з</w:t>
      </w:r>
      <w:r w:rsidR="000F3BFD" w:rsidRPr="00020763">
        <w:rPr>
          <w:sz w:val="28"/>
          <w:szCs w:val="28"/>
          <w:lang w:val="uk-UA"/>
        </w:rPr>
        <w:t>а умови відповідності вимогам, у</w:t>
      </w:r>
      <w:r w:rsidRPr="00020763">
        <w:rPr>
          <w:sz w:val="28"/>
          <w:szCs w:val="28"/>
          <w:lang w:val="uk-UA"/>
        </w:rPr>
        <w:t>становленим у додатку до цих Правил, погоджує її.</w:t>
      </w:r>
    </w:p>
    <w:p w:rsidR="007A78FD" w:rsidRPr="00020763" w:rsidRDefault="007A78FD" w:rsidP="00020763">
      <w:pPr>
        <w:pStyle w:val="ParagraphNumbering"/>
        <w:tabs>
          <w:tab w:val="left" w:pos="567"/>
          <w:tab w:val="left" w:pos="993"/>
        </w:tabs>
        <w:spacing w:after="0"/>
        <w:ind w:firstLine="567"/>
        <w:jc w:val="both"/>
        <w:rPr>
          <w:bCs/>
          <w:strike/>
          <w:sz w:val="28"/>
          <w:szCs w:val="28"/>
          <w:lang w:val="uk-UA"/>
        </w:rPr>
      </w:pPr>
    </w:p>
    <w:p w:rsidR="007A78FD" w:rsidRPr="00020763" w:rsidRDefault="00D50C8C" w:rsidP="00020763">
      <w:pPr>
        <w:pStyle w:val="ParagraphNumbering"/>
        <w:shd w:val="clear" w:color="auto" w:fill="FFFFFF" w:themeFill="background1"/>
        <w:tabs>
          <w:tab w:val="left" w:pos="567"/>
          <w:tab w:val="left" w:pos="993"/>
        </w:tabs>
        <w:spacing w:after="0"/>
        <w:ind w:firstLine="567"/>
        <w:jc w:val="both"/>
        <w:rPr>
          <w:bCs/>
          <w:i/>
          <w:sz w:val="28"/>
          <w:szCs w:val="28"/>
          <w:lang w:val="uk-UA"/>
        </w:rPr>
      </w:pPr>
      <w:r w:rsidRPr="00020763">
        <w:rPr>
          <w:bCs/>
          <w:sz w:val="28"/>
          <w:szCs w:val="28"/>
          <w:lang w:val="ru-RU"/>
        </w:rPr>
        <w:t>33</w:t>
      </w:r>
      <w:r w:rsidR="007A78FD" w:rsidRPr="00020763">
        <w:rPr>
          <w:bCs/>
          <w:sz w:val="28"/>
          <w:szCs w:val="28"/>
          <w:lang w:val="uk-UA"/>
        </w:rPr>
        <w:t xml:space="preserve">. Банк </w:t>
      </w:r>
      <w:r w:rsidR="003963C4" w:rsidRPr="00020763">
        <w:rPr>
          <w:bCs/>
          <w:sz w:val="28"/>
          <w:szCs w:val="28"/>
          <w:lang w:val="uk-UA"/>
        </w:rPr>
        <w:t>у</w:t>
      </w:r>
      <w:r w:rsidR="004F1AFC" w:rsidRPr="00020763">
        <w:rPr>
          <w:bCs/>
          <w:sz w:val="28"/>
          <w:szCs w:val="28"/>
          <w:lang w:val="uk-UA"/>
        </w:rPr>
        <w:t xml:space="preserve">раховує зауваження Національного банку </w:t>
      </w:r>
      <w:r w:rsidR="005F2DB4" w:rsidRPr="00020763">
        <w:rPr>
          <w:bCs/>
          <w:sz w:val="28"/>
          <w:szCs w:val="28"/>
          <w:lang w:val="uk-UA"/>
        </w:rPr>
        <w:t>та подає доопрацьовану</w:t>
      </w:r>
      <w:r w:rsidR="007A78FD" w:rsidRPr="00020763">
        <w:rPr>
          <w:bCs/>
          <w:sz w:val="28"/>
          <w:szCs w:val="28"/>
          <w:lang w:val="uk-UA"/>
        </w:rPr>
        <w:t xml:space="preserve"> програму капіталіза</w:t>
      </w:r>
      <w:r w:rsidR="005F2DB4" w:rsidRPr="00020763">
        <w:rPr>
          <w:bCs/>
          <w:sz w:val="28"/>
          <w:szCs w:val="28"/>
          <w:lang w:val="uk-UA"/>
        </w:rPr>
        <w:t>ції/реструктуризації</w:t>
      </w:r>
      <w:r w:rsidR="00D01AB0" w:rsidRPr="00020763">
        <w:rPr>
          <w:bCs/>
          <w:sz w:val="28"/>
          <w:szCs w:val="28"/>
          <w:lang w:val="uk-UA"/>
        </w:rPr>
        <w:t xml:space="preserve"> </w:t>
      </w:r>
      <w:r w:rsidR="00FB4D92" w:rsidRPr="00020763">
        <w:rPr>
          <w:bCs/>
          <w:sz w:val="28"/>
          <w:szCs w:val="28"/>
          <w:lang w:val="uk-UA"/>
        </w:rPr>
        <w:t>протягом 14 календарних днів</w:t>
      </w:r>
      <w:r w:rsidR="00F20395" w:rsidRPr="00020763">
        <w:rPr>
          <w:bCs/>
          <w:sz w:val="28"/>
          <w:szCs w:val="28"/>
          <w:lang w:val="uk-UA"/>
        </w:rPr>
        <w:t xml:space="preserve"> </w:t>
      </w:r>
      <w:r w:rsidR="00A70C74" w:rsidRPr="00020763">
        <w:rPr>
          <w:bCs/>
          <w:sz w:val="28"/>
          <w:szCs w:val="28"/>
          <w:lang w:val="uk-UA"/>
        </w:rPr>
        <w:t>і</w:t>
      </w:r>
      <w:r w:rsidR="00F20395" w:rsidRPr="00020763">
        <w:rPr>
          <w:bCs/>
          <w:sz w:val="28"/>
          <w:szCs w:val="28"/>
          <w:lang w:val="uk-UA"/>
        </w:rPr>
        <w:t xml:space="preserve">з дня </w:t>
      </w:r>
      <w:r w:rsidR="00B05C21" w:rsidRPr="00020763">
        <w:rPr>
          <w:bCs/>
          <w:sz w:val="28"/>
          <w:szCs w:val="28"/>
          <w:lang w:val="uk-UA"/>
        </w:rPr>
        <w:t xml:space="preserve">отримання </w:t>
      </w:r>
      <w:r w:rsidR="00B861C6" w:rsidRPr="00020763">
        <w:rPr>
          <w:bCs/>
          <w:sz w:val="28"/>
          <w:szCs w:val="28"/>
          <w:lang w:val="uk-UA"/>
        </w:rPr>
        <w:t>таких зауважень.</w:t>
      </w:r>
    </w:p>
    <w:p w:rsidR="000B5B31" w:rsidRPr="00020763" w:rsidRDefault="000B5B31" w:rsidP="00020763">
      <w:pPr>
        <w:pStyle w:val="ParagraphNumbering"/>
        <w:tabs>
          <w:tab w:val="left" w:pos="567"/>
          <w:tab w:val="left" w:pos="993"/>
        </w:tabs>
        <w:spacing w:after="0"/>
        <w:ind w:firstLine="567"/>
        <w:jc w:val="both"/>
        <w:rPr>
          <w:bCs/>
          <w:sz w:val="28"/>
          <w:szCs w:val="28"/>
          <w:lang w:val="uk-UA"/>
        </w:rPr>
      </w:pPr>
    </w:p>
    <w:p w:rsidR="00C71BD3" w:rsidRPr="00020763" w:rsidRDefault="00D50C8C" w:rsidP="00020763">
      <w:pPr>
        <w:pStyle w:val="aff"/>
        <w:shd w:val="clear" w:color="auto" w:fill="FFFFFF" w:themeFill="background1"/>
        <w:spacing w:before="0" w:beforeAutospacing="0" w:after="0" w:afterAutospacing="0"/>
        <w:ind w:firstLine="567"/>
        <w:jc w:val="both"/>
        <w:rPr>
          <w:bCs/>
          <w:sz w:val="28"/>
          <w:szCs w:val="28"/>
          <w:shd w:val="clear" w:color="auto" w:fill="FFFFFF"/>
          <w:lang w:val="uk-UA" w:eastAsia="uk-UA"/>
        </w:rPr>
      </w:pPr>
      <w:r w:rsidRPr="00020763">
        <w:rPr>
          <w:bCs/>
          <w:sz w:val="28"/>
          <w:szCs w:val="28"/>
          <w:lang w:val="uk-UA"/>
        </w:rPr>
        <w:t>34</w:t>
      </w:r>
      <w:r w:rsidR="000B5B31" w:rsidRPr="00020763">
        <w:rPr>
          <w:bCs/>
          <w:sz w:val="28"/>
          <w:szCs w:val="28"/>
          <w:lang w:val="uk-UA"/>
        </w:rPr>
        <w:t xml:space="preserve">. </w:t>
      </w:r>
      <w:r w:rsidR="000B5B31" w:rsidRPr="00020763">
        <w:rPr>
          <w:bCs/>
          <w:sz w:val="28"/>
          <w:szCs w:val="28"/>
          <w:shd w:val="clear" w:color="auto" w:fill="FFFFFF"/>
          <w:lang w:val="uk-UA" w:eastAsia="uk-UA"/>
        </w:rPr>
        <w:t>Банк</w:t>
      </w:r>
      <w:r w:rsidR="00C71BD3" w:rsidRPr="00020763">
        <w:rPr>
          <w:bCs/>
          <w:sz w:val="28"/>
          <w:szCs w:val="28"/>
          <w:shd w:val="clear" w:color="auto" w:fill="FFFFFF"/>
          <w:lang w:val="uk-UA" w:eastAsia="uk-UA"/>
        </w:rPr>
        <w:t>, щодо якого</w:t>
      </w:r>
      <w:r w:rsidR="000B5B31" w:rsidRPr="00020763">
        <w:rPr>
          <w:bCs/>
          <w:sz w:val="28"/>
          <w:szCs w:val="28"/>
          <w:shd w:val="clear" w:color="auto" w:fill="FFFFFF"/>
          <w:lang w:val="uk-UA" w:eastAsia="uk-UA"/>
        </w:rPr>
        <w:t xml:space="preserve"> Національний банк за результатами оцін</w:t>
      </w:r>
      <w:r w:rsidR="00D10E20" w:rsidRPr="00020763">
        <w:rPr>
          <w:bCs/>
          <w:sz w:val="28"/>
          <w:szCs w:val="28"/>
          <w:shd w:val="clear" w:color="auto" w:fill="FFFFFF"/>
          <w:lang w:val="uk-UA" w:eastAsia="uk-UA"/>
        </w:rPr>
        <w:t>ки стійкості визначив необхідні рівні</w:t>
      </w:r>
      <w:r w:rsidR="000B5B31" w:rsidRPr="00020763">
        <w:rPr>
          <w:bCs/>
          <w:sz w:val="28"/>
          <w:szCs w:val="28"/>
          <w:shd w:val="clear" w:color="auto" w:fill="FFFFFF"/>
          <w:lang w:val="uk-UA" w:eastAsia="uk-UA"/>
        </w:rPr>
        <w:t xml:space="preserve"> нормативів до</w:t>
      </w:r>
      <w:r w:rsidR="00C71BD3" w:rsidRPr="00020763">
        <w:rPr>
          <w:bCs/>
          <w:sz w:val="28"/>
          <w:szCs w:val="28"/>
          <w:shd w:val="clear" w:color="auto" w:fill="FFFFFF"/>
          <w:lang w:val="uk-UA" w:eastAsia="uk-UA"/>
        </w:rPr>
        <w:t>статності капіталу, забезпечує</w:t>
      </w:r>
      <w:r w:rsidR="000B5B31" w:rsidRPr="00020763">
        <w:rPr>
          <w:bCs/>
          <w:sz w:val="28"/>
          <w:szCs w:val="28"/>
          <w:shd w:val="clear" w:color="auto" w:fill="FFFFFF"/>
          <w:lang w:val="uk-UA" w:eastAsia="uk-UA"/>
        </w:rPr>
        <w:t xml:space="preserve"> </w:t>
      </w:r>
      <w:r w:rsidR="00D10E20" w:rsidRPr="00020763">
        <w:rPr>
          <w:bCs/>
          <w:sz w:val="28"/>
          <w:szCs w:val="28"/>
          <w:shd w:val="clear" w:color="auto" w:fill="FFFFFF"/>
          <w:lang w:val="uk-UA" w:eastAsia="uk-UA"/>
        </w:rPr>
        <w:t>їх</w:t>
      </w:r>
      <w:r w:rsidR="000B5B31" w:rsidRPr="00020763">
        <w:rPr>
          <w:bCs/>
          <w:sz w:val="28"/>
          <w:szCs w:val="28"/>
          <w:shd w:val="clear" w:color="auto" w:fill="FFFFFF"/>
          <w:lang w:val="uk-UA" w:eastAsia="uk-UA"/>
        </w:rPr>
        <w:t xml:space="preserve"> дотримання шляхом ви</w:t>
      </w:r>
      <w:r w:rsidR="004177C5" w:rsidRPr="00020763">
        <w:rPr>
          <w:bCs/>
          <w:sz w:val="28"/>
          <w:szCs w:val="28"/>
          <w:shd w:val="clear" w:color="auto" w:fill="FFFFFF"/>
          <w:lang w:val="uk-UA" w:eastAsia="uk-UA"/>
        </w:rPr>
        <w:t>конання програми капіталізації/</w:t>
      </w:r>
      <w:r w:rsidR="00C71BD3" w:rsidRPr="00020763">
        <w:rPr>
          <w:bCs/>
          <w:sz w:val="28"/>
          <w:szCs w:val="28"/>
          <w:shd w:val="clear" w:color="auto" w:fill="FFFFFF"/>
          <w:lang w:val="uk-UA" w:eastAsia="uk-UA"/>
        </w:rPr>
        <w:t>реструктуризації</w:t>
      </w:r>
      <w:r w:rsidR="00E26757" w:rsidRPr="00020763">
        <w:rPr>
          <w:sz w:val="28"/>
          <w:szCs w:val="28"/>
          <w:lang w:val="uk-UA"/>
        </w:rPr>
        <w:t xml:space="preserve"> </w:t>
      </w:r>
      <w:r w:rsidR="00154096" w:rsidRPr="00020763">
        <w:rPr>
          <w:bCs/>
          <w:sz w:val="28"/>
          <w:szCs w:val="28"/>
          <w:shd w:val="clear" w:color="auto" w:fill="FFFFFF"/>
          <w:lang w:val="uk-UA" w:eastAsia="uk-UA"/>
        </w:rPr>
        <w:t>у</w:t>
      </w:r>
      <w:r w:rsidR="00D01AB0" w:rsidRPr="00020763">
        <w:rPr>
          <w:bCs/>
          <w:sz w:val="28"/>
          <w:szCs w:val="28"/>
          <w:shd w:val="clear" w:color="auto" w:fill="FFFFFF"/>
          <w:lang w:val="uk-UA"/>
        </w:rPr>
        <w:t> </w:t>
      </w:r>
      <w:r w:rsidR="00154096" w:rsidRPr="00020763">
        <w:rPr>
          <w:bCs/>
          <w:sz w:val="28"/>
          <w:szCs w:val="28"/>
          <w:shd w:val="clear" w:color="auto" w:fill="FFFFFF"/>
          <w:lang w:val="uk-UA" w:eastAsia="uk-UA"/>
        </w:rPr>
        <w:t xml:space="preserve"> </w:t>
      </w:r>
      <w:r w:rsidR="00C36023" w:rsidRPr="00020763">
        <w:rPr>
          <w:bCs/>
          <w:sz w:val="28"/>
          <w:szCs w:val="28"/>
          <w:shd w:val="clear" w:color="auto" w:fill="FFFFFF"/>
          <w:lang w:val="uk-UA" w:eastAsia="uk-UA"/>
        </w:rPr>
        <w:t>строки</w:t>
      </w:r>
      <w:r w:rsidR="00154096" w:rsidRPr="00020763">
        <w:rPr>
          <w:bCs/>
          <w:sz w:val="28"/>
          <w:szCs w:val="28"/>
          <w:shd w:val="clear" w:color="auto" w:fill="FFFFFF"/>
          <w:lang w:val="uk-UA" w:eastAsia="uk-UA"/>
        </w:rPr>
        <w:t xml:space="preserve">, зазначені </w:t>
      </w:r>
      <w:r w:rsidR="0069291F">
        <w:rPr>
          <w:bCs/>
          <w:sz w:val="28"/>
          <w:szCs w:val="28"/>
          <w:shd w:val="clear" w:color="auto" w:fill="FFFFFF"/>
          <w:lang w:val="uk-UA" w:eastAsia="uk-UA"/>
        </w:rPr>
        <w:t>в</w:t>
      </w:r>
      <w:r w:rsidR="00154096" w:rsidRPr="00020763">
        <w:rPr>
          <w:bCs/>
          <w:sz w:val="28"/>
          <w:szCs w:val="28"/>
          <w:shd w:val="clear" w:color="auto" w:fill="FFFFFF"/>
          <w:lang w:val="uk-UA" w:eastAsia="uk-UA"/>
        </w:rPr>
        <w:t xml:space="preserve"> пункті</w:t>
      </w:r>
      <w:r w:rsidR="006D3E6A" w:rsidRPr="00020763">
        <w:rPr>
          <w:bCs/>
          <w:sz w:val="28"/>
          <w:szCs w:val="28"/>
          <w:shd w:val="clear" w:color="auto" w:fill="FFFFFF"/>
          <w:lang w:val="uk-UA" w:eastAsia="uk-UA"/>
        </w:rPr>
        <w:t xml:space="preserve"> </w:t>
      </w:r>
      <w:r w:rsidR="00D57E76" w:rsidRPr="00020763">
        <w:rPr>
          <w:bCs/>
          <w:sz w:val="28"/>
          <w:szCs w:val="28"/>
          <w:shd w:val="clear" w:color="auto" w:fill="FFFFFF"/>
          <w:lang w:val="uk-UA" w:eastAsia="uk-UA"/>
        </w:rPr>
        <w:t>3</w:t>
      </w:r>
      <w:r w:rsidRPr="00020763">
        <w:rPr>
          <w:bCs/>
          <w:sz w:val="28"/>
          <w:szCs w:val="28"/>
          <w:shd w:val="clear" w:color="auto" w:fill="FFFFFF"/>
          <w:lang w:val="uk-UA" w:eastAsia="uk-UA"/>
        </w:rPr>
        <w:t>5</w:t>
      </w:r>
      <w:r w:rsidR="00B971EC" w:rsidRPr="00020763">
        <w:rPr>
          <w:bCs/>
          <w:sz w:val="28"/>
          <w:szCs w:val="28"/>
          <w:shd w:val="clear" w:color="auto" w:fill="FFFFFF"/>
          <w:lang w:val="uk-UA" w:eastAsia="uk-UA"/>
        </w:rPr>
        <w:t xml:space="preserve"> </w:t>
      </w:r>
      <w:r w:rsidR="00D00B54" w:rsidRPr="00020763">
        <w:rPr>
          <w:sz w:val="28"/>
          <w:szCs w:val="28"/>
          <w:lang w:val="uk-UA"/>
        </w:rPr>
        <w:t>розділу І</w:t>
      </w:r>
      <w:r w:rsidRPr="00020763">
        <w:rPr>
          <w:sz w:val="28"/>
          <w:szCs w:val="28"/>
          <w:lang w:val="en-US"/>
        </w:rPr>
        <w:t>V</w:t>
      </w:r>
      <w:r w:rsidR="00D00B54" w:rsidRPr="00020763">
        <w:rPr>
          <w:sz w:val="28"/>
          <w:szCs w:val="28"/>
          <w:lang w:val="uk-UA"/>
        </w:rPr>
        <w:t xml:space="preserve"> цих Правил</w:t>
      </w:r>
      <w:r w:rsidR="00C71BD3" w:rsidRPr="00020763">
        <w:rPr>
          <w:bCs/>
          <w:sz w:val="28"/>
          <w:szCs w:val="28"/>
          <w:shd w:val="clear" w:color="auto" w:fill="FFFFFF"/>
          <w:lang w:val="uk-UA" w:eastAsia="uk-UA"/>
        </w:rPr>
        <w:t>.</w:t>
      </w:r>
    </w:p>
    <w:p w:rsidR="000B5B31" w:rsidRPr="00020763" w:rsidRDefault="000B5B31" w:rsidP="00020763">
      <w:pPr>
        <w:pStyle w:val="aff"/>
        <w:shd w:val="clear" w:color="auto" w:fill="FFFFFF" w:themeFill="background1"/>
        <w:spacing w:before="0" w:beforeAutospacing="0" w:after="0" w:afterAutospacing="0"/>
        <w:ind w:firstLine="567"/>
        <w:jc w:val="both"/>
        <w:rPr>
          <w:sz w:val="28"/>
          <w:szCs w:val="28"/>
          <w:lang w:val="uk-UA"/>
        </w:rPr>
      </w:pPr>
    </w:p>
    <w:p w:rsidR="00B971EC" w:rsidRPr="00020763" w:rsidRDefault="00D57E76" w:rsidP="00020763">
      <w:pPr>
        <w:pStyle w:val="aff"/>
        <w:shd w:val="clear" w:color="auto" w:fill="FFFFFF"/>
        <w:spacing w:before="0" w:beforeAutospacing="0" w:after="0" w:afterAutospacing="0"/>
        <w:ind w:firstLine="567"/>
        <w:jc w:val="both"/>
        <w:rPr>
          <w:i/>
          <w:iCs/>
          <w:sz w:val="28"/>
          <w:szCs w:val="28"/>
          <w:shd w:val="clear" w:color="auto" w:fill="FFFFFF"/>
          <w:lang w:val="uk-UA" w:eastAsia="uk-UA"/>
        </w:rPr>
      </w:pPr>
      <w:bookmarkStart w:id="6" w:name="_Hlk131145903"/>
      <w:r w:rsidRPr="00020763">
        <w:rPr>
          <w:sz w:val="28"/>
          <w:szCs w:val="28"/>
          <w:lang w:val="uk-UA"/>
        </w:rPr>
        <w:t>3</w:t>
      </w:r>
      <w:r w:rsidR="00D50C8C" w:rsidRPr="00020763">
        <w:rPr>
          <w:sz w:val="28"/>
          <w:szCs w:val="28"/>
          <w:lang w:val="uk-UA"/>
        </w:rPr>
        <w:t>5</w:t>
      </w:r>
      <w:r w:rsidR="00B971EC" w:rsidRPr="00020763">
        <w:rPr>
          <w:sz w:val="28"/>
          <w:szCs w:val="28"/>
          <w:lang w:val="uk-UA"/>
        </w:rPr>
        <w:t xml:space="preserve">. </w:t>
      </w:r>
      <w:r w:rsidR="00B971EC" w:rsidRPr="00020763">
        <w:rPr>
          <w:sz w:val="28"/>
          <w:szCs w:val="28"/>
          <w:shd w:val="clear" w:color="auto" w:fill="FFFFFF"/>
          <w:lang w:val="uk-UA" w:eastAsia="uk-UA"/>
        </w:rPr>
        <w:t>Банки, щодо яких Національний банк за результатами оцінки стійкості визначив необхідні</w:t>
      </w:r>
      <w:r w:rsidR="00EA74B2" w:rsidRPr="00020763">
        <w:rPr>
          <w:sz w:val="28"/>
          <w:szCs w:val="28"/>
          <w:shd w:val="clear" w:color="auto" w:fill="FFFFFF"/>
          <w:lang w:val="uk-UA" w:eastAsia="uk-UA"/>
        </w:rPr>
        <w:t xml:space="preserve"> рів</w:t>
      </w:r>
      <w:r w:rsidR="00B971EC" w:rsidRPr="00020763">
        <w:rPr>
          <w:sz w:val="28"/>
          <w:szCs w:val="28"/>
          <w:shd w:val="clear" w:color="auto" w:fill="FFFFFF"/>
          <w:lang w:val="uk-UA" w:eastAsia="uk-UA"/>
        </w:rPr>
        <w:t xml:space="preserve">ні нормативів достатності капіталу, забезпечують їх </w:t>
      </w:r>
      <w:r w:rsidR="00EA74B2" w:rsidRPr="00020763">
        <w:rPr>
          <w:sz w:val="28"/>
          <w:szCs w:val="28"/>
          <w:shd w:val="clear" w:color="auto" w:fill="FFFFFF"/>
          <w:lang w:val="uk-UA" w:eastAsia="uk-UA"/>
        </w:rPr>
        <w:lastRenderedPageBreak/>
        <w:t>дотримання</w:t>
      </w:r>
      <w:r w:rsidR="00B971EC" w:rsidRPr="00020763">
        <w:rPr>
          <w:sz w:val="28"/>
          <w:szCs w:val="28"/>
          <w:shd w:val="clear" w:color="auto" w:fill="FFFFFF"/>
          <w:lang w:val="uk-UA" w:eastAsia="uk-UA"/>
        </w:rPr>
        <w:t xml:space="preserve"> згідно з розробленою програмою капіталізації/реструктуризації </w:t>
      </w:r>
      <w:r w:rsidR="00B971EC" w:rsidRPr="00020763">
        <w:rPr>
          <w:bCs/>
          <w:sz w:val="28"/>
          <w:szCs w:val="28"/>
          <w:shd w:val="clear" w:color="auto" w:fill="FFFFFF"/>
          <w:lang w:val="uk-UA" w:eastAsia="uk-UA"/>
        </w:rPr>
        <w:t>за таким графіком</w:t>
      </w:r>
      <w:r w:rsidR="00B971EC" w:rsidRPr="00020763">
        <w:rPr>
          <w:sz w:val="28"/>
          <w:szCs w:val="28"/>
          <w:shd w:val="clear" w:color="auto" w:fill="FFFFFF"/>
          <w:lang w:val="uk-UA" w:eastAsia="uk-UA"/>
        </w:rPr>
        <w:t>:</w:t>
      </w:r>
    </w:p>
    <w:p w:rsidR="009923D5" w:rsidRPr="00020763" w:rsidRDefault="009923D5" w:rsidP="00020763">
      <w:pPr>
        <w:pStyle w:val="aff"/>
        <w:shd w:val="clear" w:color="auto" w:fill="FFFFFF"/>
        <w:spacing w:before="0" w:beforeAutospacing="0" w:after="0" w:afterAutospacing="0"/>
        <w:ind w:firstLine="567"/>
        <w:jc w:val="both"/>
        <w:rPr>
          <w:sz w:val="28"/>
          <w:szCs w:val="28"/>
          <w:lang w:val="uk-UA"/>
        </w:rPr>
      </w:pPr>
    </w:p>
    <w:p w:rsidR="00B971EC" w:rsidRPr="00020763" w:rsidRDefault="009923D5" w:rsidP="00020763">
      <w:pPr>
        <w:pStyle w:val="aff"/>
        <w:shd w:val="clear" w:color="auto" w:fill="FFFFFF"/>
        <w:spacing w:before="0" w:beforeAutospacing="0" w:after="0" w:afterAutospacing="0"/>
        <w:ind w:firstLine="567"/>
        <w:jc w:val="both"/>
        <w:rPr>
          <w:sz w:val="28"/>
          <w:szCs w:val="28"/>
          <w:lang w:val="uk-UA" w:eastAsia="uk-UA"/>
        </w:rPr>
      </w:pPr>
      <w:r w:rsidRPr="00020763">
        <w:rPr>
          <w:sz w:val="28"/>
          <w:szCs w:val="28"/>
          <w:lang w:val="uk-UA"/>
        </w:rPr>
        <w:t xml:space="preserve">1) </w:t>
      </w:r>
      <w:r w:rsidR="00B971EC" w:rsidRPr="00020763">
        <w:rPr>
          <w:sz w:val="28"/>
          <w:szCs w:val="28"/>
          <w:lang w:val="uk-UA"/>
        </w:rPr>
        <w:t>до 31 липня 20</w:t>
      </w:r>
      <w:r w:rsidR="002D3454" w:rsidRPr="00020763">
        <w:rPr>
          <w:sz w:val="28"/>
          <w:szCs w:val="28"/>
          <w:lang w:val="uk-UA"/>
        </w:rPr>
        <w:t xml:space="preserve">24 року – </w:t>
      </w:r>
      <w:r w:rsidR="006A1711" w:rsidRPr="00020763">
        <w:rPr>
          <w:sz w:val="28"/>
          <w:szCs w:val="28"/>
          <w:lang w:val="uk-UA"/>
        </w:rPr>
        <w:t>значен</w:t>
      </w:r>
      <w:r w:rsidR="00471B59">
        <w:rPr>
          <w:sz w:val="28"/>
          <w:szCs w:val="28"/>
          <w:lang w:val="uk-UA"/>
        </w:rPr>
        <w:t>ь</w:t>
      </w:r>
      <w:r w:rsidR="006A1711" w:rsidRPr="00020763">
        <w:rPr>
          <w:sz w:val="28"/>
          <w:szCs w:val="28"/>
          <w:lang w:val="uk-UA"/>
        </w:rPr>
        <w:t xml:space="preserve"> </w:t>
      </w:r>
      <w:r w:rsidR="008527CB">
        <w:rPr>
          <w:sz w:val="28"/>
          <w:szCs w:val="28"/>
          <w:lang w:val="uk-UA"/>
        </w:rPr>
        <w:t xml:space="preserve">розміру </w:t>
      </w:r>
      <w:r w:rsidR="006A1711" w:rsidRPr="00020763">
        <w:rPr>
          <w:sz w:val="28"/>
          <w:szCs w:val="28"/>
          <w:lang w:val="uk-UA"/>
        </w:rPr>
        <w:t>регулятивного</w:t>
      </w:r>
      <w:r w:rsidR="00395DBC">
        <w:rPr>
          <w:sz w:val="28"/>
          <w:szCs w:val="28"/>
          <w:lang w:val="uk-UA"/>
        </w:rPr>
        <w:t xml:space="preserve"> капіталу та </w:t>
      </w:r>
      <w:r w:rsidR="00F867F7" w:rsidRPr="00020763">
        <w:rPr>
          <w:sz w:val="28"/>
          <w:szCs w:val="28"/>
          <w:lang w:val="uk-UA"/>
        </w:rPr>
        <w:t xml:space="preserve">основного </w:t>
      </w:r>
      <w:r w:rsidR="006A1711" w:rsidRPr="00020763">
        <w:rPr>
          <w:sz w:val="28"/>
          <w:szCs w:val="28"/>
          <w:lang w:val="uk-UA"/>
        </w:rPr>
        <w:t xml:space="preserve">капіталу </w:t>
      </w:r>
      <w:r w:rsidR="00D510AC" w:rsidRPr="00020763">
        <w:rPr>
          <w:sz w:val="28"/>
          <w:szCs w:val="28"/>
          <w:lang w:val="uk-UA"/>
        </w:rPr>
        <w:t xml:space="preserve">не </w:t>
      </w:r>
      <w:r w:rsidR="00471B59" w:rsidRPr="00020763">
        <w:rPr>
          <w:sz w:val="28"/>
          <w:szCs w:val="28"/>
          <w:lang w:val="uk-UA"/>
        </w:rPr>
        <w:t>менш</w:t>
      </w:r>
      <w:r w:rsidR="00471B59">
        <w:rPr>
          <w:sz w:val="28"/>
          <w:szCs w:val="28"/>
          <w:lang w:val="uk-UA"/>
        </w:rPr>
        <w:t>их</w:t>
      </w:r>
      <w:r w:rsidR="00471B59" w:rsidRPr="00020763">
        <w:rPr>
          <w:sz w:val="28"/>
          <w:szCs w:val="28"/>
          <w:lang w:val="uk-UA"/>
        </w:rPr>
        <w:t xml:space="preserve"> </w:t>
      </w:r>
      <w:r w:rsidR="00D510AC" w:rsidRPr="00020763">
        <w:rPr>
          <w:sz w:val="28"/>
          <w:szCs w:val="28"/>
          <w:lang w:val="uk-UA"/>
        </w:rPr>
        <w:t>ніж нуль</w:t>
      </w:r>
      <w:r w:rsidR="002D3454" w:rsidRPr="00020763">
        <w:rPr>
          <w:sz w:val="28"/>
          <w:szCs w:val="28"/>
          <w:lang w:val="uk-UA"/>
        </w:rPr>
        <w:t>,</w:t>
      </w:r>
      <w:r w:rsidR="00B971EC" w:rsidRPr="00020763">
        <w:rPr>
          <w:sz w:val="28"/>
          <w:szCs w:val="28"/>
          <w:lang w:val="uk-UA"/>
        </w:rPr>
        <w:t xml:space="preserve"> якщо за результатами першого етапу оцінки стійкості </w:t>
      </w:r>
      <w:r w:rsidR="006A1711" w:rsidRPr="00020763">
        <w:rPr>
          <w:sz w:val="28"/>
          <w:szCs w:val="28"/>
          <w:lang w:val="uk-UA"/>
        </w:rPr>
        <w:t xml:space="preserve">банк </w:t>
      </w:r>
      <w:r w:rsidR="00A15DAC" w:rsidRPr="00020763">
        <w:rPr>
          <w:sz w:val="28"/>
          <w:szCs w:val="28"/>
          <w:lang w:val="uk-UA"/>
        </w:rPr>
        <w:t>не ма</w:t>
      </w:r>
      <w:r w:rsidR="006A1711" w:rsidRPr="00020763">
        <w:rPr>
          <w:sz w:val="28"/>
          <w:szCs w:val="28"/>
          <w:lang w:val="uk-UA"/>
        </w:rPr>
        <w:t>в</w:t>
      </w:r>
      <w:r w:rsidR="00A15DAC" w:rsidRPr="00020763">
        <w:rPr>
          <w:sz w:val="28"/>
          <w:szCs w:val="28"/>
          <w:lang w:val="uk-UA"/>
        </w:rPr>
        <w:t xml:space="preserve"> позитивного значення</w:t>
      </w:r>
      <w:r w:rsidR="006A1711" w:rsidRPr="00020763">
        <w:rPr>
          <w:sz w:val="28"/>
          <w:szCs w:val="28"/>
          <w:lang w:val="uk-UA"/>
        </w:rPr>
        <w:t xml:space="preserve"> </w:t>
      </w:r>
      <w:r w:rsidR="008527CB">
        <w:rPr>
          <w:sz w:val="28"/>
          <w:szCs w:val="28"/>
          <w:lang w:val="uk-UA"/>
        </w:rPr>
        <w:t xml:space="preserve">розміру </w:t>
      </w:r>
      <w:r w:rsidR="00395DBC" w:rsidRPr="00020763">
        <w:rPr>
          <w:sz w:val="28"/>
          <w:szCs w:val="28"/>
          <w:lang w:val="uk-UA"/>
        </w:rPr>
        <w:t>регулятивного</w:t>
      </w:r>
      <w:r w:rsidR="00395DBC">
        <w:rPr>
          <w:sz w:val="28"/>
          <w:szCs w:val="28"/>
          <w:lang w:val="uk-UA"/>
        </w:rPr>
        <w:t>/</w:t>
      </w:r>
      <w:r w:rsidR="000B57CA" w:rsidRPr="000B57CA">
        <w:rPr>
          <w:sz w:val="28"/>
          <w:szCs w:val="28"/>
        </w:rPr>
        <w:t xml:space="preserve"> </w:t>
      </w:r>
      <w:r w:rsidR="00395DBC" w:rsidRPr="00020763">
        <w:rPr>
          <w:sz w:val="28"/>
          <w:szCs w:val="28"/>
          <w:lang w:val="uk-UA"/>
        </w:rPr>
        <w:t>основного капіталу</w:t>
      </w:r>
      <w:r w:rsidR="00B971EC" w:rsidRPr="00020763">
        <w:rPr>
          <w:sz w:val="28"/>
          <w:szCs w:val="28"/>
          <w:lang w:val="uk-UA"/>
        </w:rPr>
        <w:t>;</w:t>
      </w:r>
    </w:p>
    <w:p w:rsidR="009923D5" w:rsidRPr="00020763" w:rsidRDefault="009923D5" w:rsidP="00020763">
      <w:pPr>
        <w:shd w:val="clear" w:color="auto" w:fill="FFFFFF"/>
        <w:ind w:firstLine="567"/>
      </w:pPr>
    </w:p>
    <w:p w:rsidR="00B971EC" w:rsidRPr="00020763" w:rsidRDefault="009923D5" w:rsidP="00020763">
      <w:pPr>
        <w:shd w:val="clear" w:color="auto" w:fill="FFFFFF"/>
        <w:ind w:firstLine="567"/>
      </w:pPr>
      <w:r w:rsidRPr="00020763">
        <w:t xml:space="preserve">2) </w:t>
      </w:r>
      <w:r w:rsidR="00B971EC" w:rsidRPr="00020763">
        <w:t>до 30 вересня 2024 року</w:t>
      </w:r>
      <w:r w:rsidR="00011189" w:rsidRPr="00020763">
        <w:t xml:space="preserve"> –</w:t>
      </w:r>
      <w:r w:rsidR="00B971EC" w:rsidRPr="00020763">
        <w:rPr>
          <w:shd w:val="clear" w:color="auto" w:fill="FFFFFF"/>
        </w:rPr>
        <w:t xml:space="preserve"> </w:t>
      </w:r>
      <w:r w:rsidR="00011189" w:rsidRPr="00020763">
        <w:rPr>
          <w:lang w:eastAsia="en-US"/>
        </w:rPr>
        <w:t xml:space="preserve">у розмірі, що </w:t>
      </w:r>
      <w:r w:rsidR="00011189" w:rsidRPr="00020763">
        <w:rPr>
          <w:bCs/>
          <w:shd w:val="clear" w:color="auto" w:fill="FFFFFF"/>
        </w:rPr>
        <w:t>дорівнює необхідн</w:t>
      </w:r>
      <w:r w:rsidR="00FA14C6" w:rsidRPr="00020763">
        <w:rPr>
          <w:bCs/>
          <w:shd w:val="clear" w:color="auto" w:fill="FFFFFF"/>
        </w:rPr>
        <w:t>ому</w:t>
      </w:r>
      <w:r w:rsidR="00011189" w:rsidRPr="00020763">
        <w:rPr>
          <w:bCs/>
          <w:shd w:val="clear" w:color="auto" w:fill="FFFFFF"/>
        </w:rPr>
        <w:t xml:space="preserve"> рівн</w:t>
      </w:r>
      <w:r w:rsidR="00FA14C6" w:rsidRPr="00020763">
        <w:rPr>
          <w:bCs/>
          <w:shd w:val="clear" w:color="auto" w:fill="FFFFFF"/>
        </w:rPr>
        <w:t>ю</w:t>
      </w:r>
      <w:r w:rsidR="00011189" w:rsidRPr="00020763">
        <w:rPr>
          <w:bCs/>
          <w:shd w:val="clear" w:color="auto" w:fill="FFFFFF"/>
        </w:rPr>
        <w:t xml:space="preserve"> нормативів достатності капіталу, визначен</w:t>
      </w:r>
      <w:r w:rsidR="00FA14C6" w:rsidRPr="00020763">
        <w:rPr>
          <w:bCs/>
          <w:shd w:val="clear" w:color="auto" w:fill="FFFFFF"/>
        </w:rPr>
        <w:t>ому</w:t>
      </w:r>
      <w:r w:rsidR="00011189" w:rsidRPr="00020763">
        <w:rPr>
          <w:bCs/>
          <w:shd w:val="clear" w:color="auto" w:fill="FFFFFF"/>
        </w:rPr>
        <w:t xml:space="preserve"> з урахуванням граничних </w:t>
      </w:r>
      <w:r w:rsidR="00C1763E" w:rsidRPr="00020763">
        <w:rPr>
          <w:bCs/>
          <w:shd w:val="clear" w:color="auto" w:fill="FFFFFF"/>
        </w:rPr>
        <w:t>значень</w:t>
      </w:r>
      <w:r w:rsidR="00011189" w:rsidRPr="00020763">
        <w:rPr>
          <w:bCs/>
          <w:shd w:val="clear" w:color="auto" w:fill="FFFFFF"/>
        </w:rPr>
        <w:t xml:space="preserve"> цих нормативів, що дорівнюють 0%</w:t>
      </w:r>
      <w:r w:rsidR="00B971EC" w:rsidRPr="00020763">
        <w:rPr>
          <w:shd w:val="clear" w:color="auto" w:fill="FFFFFF"/>
        </w:rPr>
        <w:t>;</w:t>
      </w:r>
    </w:p>
    <w:p w:rsidR="00676BF6" w:rsidRPr="00020763" w:rsidRDefault="00676BF6" w:rsidP="00020763">
      <w:pPr>
        <w:pStyle w:val="ParagraphNumbering"/>
        <w:spacing w:after="0"/>
        <w:ind w:firstLine="567"/>
        <w:jc w:val="both"/>
        <w:rPr>
          <w:sz w:val="28"/>
          <w:szCs w:val="28"/>
          <w:lang w:val="uk-UA"/>
        </w:rPr>
      </w:pPr>
    </w:p>
    <w:p w:rsidR="00B971EC" w:rsidRPr="00020763" w:rsidRDefault="00676BF6" w:rsidP="00020763">
      <w:pPr>
        <w:pStyle w:val="ParagraphNumbering"/>
        <w:spacing w:after="0"/>
        <w:ind w:firstLine="567"/>
        <w:jc w:val="both"/>
        <w:rPr>
          <w:sz w:val="28"/>
          <w:szCs w:val="28"/>
          <w:shd w:val="clear" w:color="auto" w:fill="FFFFFF"/>
          <w:lang w:val="uk-UA" w:eastAsia="uk-UA"/>
        </w:rPr>
      </w:pPr>
      <w:r w:rsidRPr="00020763">
        <w:rPr>
          <w:sz w:val="28"/>
          <w:szCs w:val="28"/>
          <w:lang w:val="uk-UA"/>
        </w:rPr>
        <w:t xml:space="preserve">3) </w:t>
      </w:r>
      <w:r w:rsidR="00B971EC" w:rsidRPr="00020763">
        <w:rPr>
          <w:sz w:val="28"/>
          <w:szCs w:val="28"/>
          <w:lang w:val="uk-UA"/>
        </w:rPr>
        <w:t>до 31 березня 2026 року</w:t>
      </w:r>
      <w:r w:rsidR="00011189" w:rsidRPr="00020763">
        <w:rPr>
          <w:sz w:val="28"/>
          <w:szCs w:val="28"/>
          <w:lang w:val="uk-UA"/>
        </w:rPr>
        <w:t xml:space="preserve"> – у розмірі, що </w:t>
      </w:r>
      <w:r w:rsidR="00011189" w:rsidRPr="00020763">
        <w:rPr>
          <w:bCs/>
          <w:sz w:val="28"/>
          <w:szCs w:val="28"/>
          <w:shd w:val="clear" w:color="auto" w:fill="FFFFFF"/>
          <w:lang w:val="uk-UA"/>
        </w:rPr>
        <w:t xml:space="preserve">дорівнює </w:t>
      </w:r>
      <w:r w:rsidR="00011189" w:rsidRPr="00020763">
        <w:rPr>
          <w:bCs/>
          <w:sz w:val="28"/>
          <w:szCs w:val="28"/>
          <w:shd w:val="clear" w:color="auto" w:fill="FFFFFF"/>
          <w:lang w:val="uk-UA" w:eastAsia="uk-UA"/>
        </w:rPr>
        <w:t>необхідн</w:t>
      </w:r>
      <w:r w:rsidR="00FA14C6" w:rsidRPr="00020763">
        <w:rPr>
          <w:bCs/>
          <w:sz w:val="28"/>
          <w:szCs w:val="28"/>
          <w:shd w:val="clear" w:color="auto" w:fill="FFFFFF"/>
          <w:lang w:val="uk-UA" w:eastAsia="uk-UA"/>
        </w:rPr>
        <w:t>ому</w:t>
      </w:r>
      <w:r w:rsidR="00011189" w:rsidRPr="00020763">
        <w:rPr>
          <w:bCs/>
          <w:sz w:val="28"/>
          <w:szCs w:val="28"/>
          <w:shd w:val="clear" w:color="auto" w:fill="FFFFFF"/>
          <w:lang w:val="uk-UA" w:eastAsia="uk-UA"/>
        </w:rPr>
        <w:t xml:space="preserve"> рівн</w:t>
      </w:r>
      <w:r w:rsidR="00FA14C6" w:rsidRPr="00020763">
        <w:rPr>
          <w:bCs/>
          <w:sz w:val="28"/>
          <w:szCs w:val="28"/>
          <w:shd w:val="clear" w:color="auto" w:fill="FFFFFF"/>
          <w:lang w:val="uk-UA" w:eastAsia="uk-UA"/>
        </w:rPr>
        <w:t>ю</w:t>
      </w:r>
      <w:r w:rsidR="00011189" w:rsidRPr="00020763">
        <w:rPr>
          <w:bCs/>
          <w:sz w:val="28"/>
          <w:szCs w:val="28"/>
          <w:shd w:val="clear" w:color="auto" w:fill="FFFFFF"/>
          <w:lang w:val="uk-UA" w:eastAsia="uk-UA"/>
        </w:rPr>
        <w:t xml:space="preserve"> нормативів достатності капіталу, </w:t>
      </w:r>
      <w:r w:rsidR="00011189" w:rsidRPr="00020763">
        <w:rPr>
          <w:bCs/>
          <w:sz w:val="28"/>
          <w:szCs w:val="28"/>
          <w:shd w:val="clear" w:color="auto" w:fill="FFFFFF"/>
          <w:lang w:val="uk-UA"/>
        </w:rPr>
        <w:t>визначен</w:t>
      </w:r>
      <w:r w:rsidR="00FA14C6" w:rsidRPr="00020763">
        <w:rPr>
          <w:bCs/>
          <w:sz w:val="28"/>
          <w:szCs w:val="28"/>
          <w:shd w:val="clear" w:color="auto" w:fill="FFFFFF"/>
          <w:lang w:val="uk-UA"/>
        </w:rPr>
        <w:t>ому</w:t>
      </w:r>
      <w:r w:rsidR="00011189" w:rsidRPr="00020763">
        <w:rPr>
          <w:bCs/>
          <w:sz w:val="28"/>
          <w:szCs w:val="28"/>
          <w:shd w:val="clear" w:color="auto" w:fill="FFFFFF"/>
          <w:lang w:val="uk-UA"/>
        </w:rPr>
        <w:t xml:space="preserve"> з урахуванням граничних </w:t>
      </w:r>
      <w:r w:rsidR="00C1763E" w:rsidRPr="00020763">
        <w:rPr>
          <w:bCs/>
          <w:sz w:val="28"/>
          <w:szCs w:val="28"/>
          <w:shd w:val="clear" w:color="auto" w:fill="FFFFFF"/>
          <w:lang w:val="uk-UA"/>
        </w:rPr>
        <w:t>значень</w:t>
      </w:r>
      <w:r w:rsidR="00011189" w:rsidRPr="00020763">
        <w:rPr>
          <w:bCs/>
          <w:sz w:val="28"/>
          <w:szCs w:val="28"/>
          <w:shd w:val="clear" w:color="auto" w:fill="FFFFFF"/>
          <w:lang w:val="uk-UA"/>
        </w:rPr>
        <w:t xml:space="preserve"> цих нормативів, що дорівнюють </w:t>
      </w:r>
      <w:r w:rsidR="00011189" w:rsidRPr="00020763">
        <w:rPr>
          <w:bCs/>
          <w:sz w:val="28"/>
          <w:szCs w:val="28"/>
          <w:shd w:val="clear" w:color="auto" w:fill="FFFFFF"/>
          <w:lang w:val="uk-UA" w:eastAsia="uk-UA"/>
        </w:rPr>
        <w:t>нормативним значенням нормативів достатності капіталу</w:t>
      </w:r>
      <w:r w:rsidR="001C2A90" w:rsidRPr="00020763">
        <w:rPr>
          <w:sz w:val="28"/>
          <w:szCs w:val="28"/>
          <w:shd w:val="clear" w:color="auto" w:fill="FFFFFF"/>
          <w:lang w:val="uk-UA" w:eastAsia="uk-UA"/>
        </w:rPr>
        <w:t>.</w:t>
      </w:r>
    </w:p>
    <w:p w:rsidR="00EA74B2" w:rsidRPr="00020763" w:rsidRDefault="00EA74B2" w:rsidP="00020763">
      <w:pPr>
        <w:pStyle w:val="ParagraphNumbering"/>
        <w:spacing w:after="0"/>
        <w:ind w:firstLine="567"/>
        <w:jc w:val="both"/>
        <w:rPr>
          <w:sz w:val="28"/>
          <w:szCs w:val="28"/>
          <w:shd w:val="clear" w:color="auto" w:fill="FFFFFF"/>
          <w:lang w:val="uk-UA" w:eastAsia="uk-UA"/>
        </w:rPr>
      </w:pPr>
    </w:p>
    <w:bookmarkEnd w:id="6"/>
    <w:p w:rsidR="000B5B31" w:rsidRPr="00020763" w:rsidRDefault="00D00B54" w:rsidP="00020763">
      <w:pPr>
        <w:tabs>
          <w:tab w:val="left" w:pos="851"/>
          <w:tab w:val="left" w:pos="993"/>
        </w:tabs>
        <w:ind w:firstLine="567"/>
      </w:pPr>
      <w:r w:rsidRPr="00020763">
        <w:t>3</w:t>
      </w:r>
      <w:r w:rsidR="00D50C8C" w:rsidRPr="00020763">
        <w:t>6</w:t>
      </w:r>
      <w:r w:rsidR="000B5B31" w:rsidRPr="00020763">
        <w:t xml:space="preserve">. </w:t>
      </w:r>
      <w:r w:rsidR="00D5483A" w:rsidRPr="00020763">
        <w:rPr>
          <w:bCs/>
        </w:rPr>
        <w:t xml:space="preserve">Комітет з питань нагляду та регулювання діяльності банків, </w:t>
      </w:r>
      <w:proofErr w:type="spellStart"/>
      <w:r w:rsidR="00D5483A" w:rsidRPr="00020763">
        <w:rPr>
          <w:bCs/>
        </w:rPr>
        <w:t>оверсайту</w:t>
      </w:r>
      <w:proofErr w:type="spellEnd"/>
      <w:r w:rsidR="00D5483A" w:rsidRPr="00020763">
        <w:rPr>
          <w:bCs/>
        </w:rPr>
        <w:t xml:space="preserve"> платіжної інфраструктури</w:t>
      </w:r>
      <w:r w:rsidR="00D5483A" w:rsidRPr="00020763">
        <w:t xml:space="preserve"> (далі – </w:t>
      </w:r>
      <w:r w:rsidR="000B5B31" w:rsidRPr="00020763">
        <w:t>Комітет з питань нагляду</w:t>
      </w:r>
      <w:r w:rsidR="00D5483A" w:rsidRPr="00020763">
        <w:t>)</w:t>
      </w:r>
      <w:r w:rsidR="000B5B31" w:rsidRPr="00020763">
        <w:t>:</w:t>
      </w:r>
    </w:p>
    <w:p w:rsidR="000B5B31" w:rsidRPr="00020763" w:rsidRDefault="000B5B31" w:rsidP="00020763">
      <w:pPr>
        <w:tabs>
          <w:tab w:val="left" w:pos="851"/>
          <w:tab w:val="left" w:pos="993"/>
        </w:tabs>
        <w:ind w:firstLine="567"/>
      </w:pPr>
    </w:p>
    <w:p w:rsidR="00A737E7" w:rsidRPr="00020763" w:rsidRDefault="000B5B31" w:rsidP="00020763">
      <w:pPr>
        <w:pStyle w:val="af3"/>
        <w:numPr>
          <w:ilvl w:val="0"/>
          <w:numId w:val="28"/>
        </w:numPr>
        <w:tabs>
          <w:tab w:val="left" w:pos="567"/>
          <w:tab w:val="left" w:pos="851"/>
        </w:tabs>
        <w:ind w:left="0" w:firstLine="567"/>
      </w:pPr>
      <w:r w:rsidRPr="00020763">
        <w:t>розглядає ре</w:t>
      </w:r>
      <w:r w:rsidR="00DF6DBC" w:rsidRPr="00020763">
        <w:t>зультати оцінки стійкості банку</w:t>
      </w:r>
      <w:r w:rsidR="00A737E7" w:rsidRPr="00020763">
        <w:t>;</w:t>
      </w:r>
    </w:p>
    <w:p w:rsidR="00A737E7" w:rsidRPr="00020763" w:rsidRDefault="00A737E7" w:rsidP="00020763">
      <w:pPr>
        <w:pStyle w:val="af3"/>
        <w:tabs>
          <w:tab w:val="left" w:pos="567"/>
          <w:tab w:val="left" w:pos="851"/>
        </w:tabs>
        <w:ind w:left="0" w:firstLine="567"/>
      </w:pPr>
    </w:p>
    <w:p w:rsidR="000B5B31" w:rsidRPr="00020763" w:rsidRDefault="000B5B31" w:rsidP="00020763">
      <w:pPr>
        <w:pStyle w:val="af3"/>
        <w:numPr>
          <w:ilvl w:val="0"/>
          <w:numId w:val="28"/>
        </w:numPr>
        <w:tabs>
          <w:tab w:val="left" w:pos="567"/>
          <w:tab w:val="left" w:pos="851"/>
        </w:tabs>
        <w:ind w:left="0" w:firstLine="567"/>
      </w:pPr>
      <w:r w:rsidRPr="00020763">
        <w:rPr>
          <w:bCs/>
        </w:rPr>
        <w:t>подає Правлінню Національного банку пропозиції</w:t>
      </w:r>
      <w:r w:rsidRPr="00020763">
        <w:t xml:space="preserve"> </w:t>
      </w:r>
      <w:r w:rsidR="00A737E7" w:rsidRPr="00020763">
        <w:rPr>
          <w:bCs/>
        </w:rPr>
        <w:t xml:space="preserve">щодо </w:t>
      </w:r>
      <w:r w:rsidRPr="00020763">
        <w:t>затвердження</w:t>
      </w:r>
      <w:r w:rsidR="00A737E7" w:rsidRPr="00020763">
        <w:t xml:space="preserve"> рез</w:t>
      </w:r>
      <w:r w:rsidR="00DF6DBC" w:rsidRPr="00020763">
        <w:t>ультатів оцінки стійкості банку</w:t>
      </w:r>
      <w:r w:rsidRPr="00020763">
        <w:t xml:space="preserve">; </w:t>
      </w:r>
    </w:p>
    <w:p w:rsidR="00C8737B" w:rsidRPr="00020763" w:rsidRDefault="00C8737B" w:rsidP="00020763">
      <w:pPr>
        <w:pStyle w:val="af3"/>
        <w:tabs>
          <w:tab w:val="left" w:pos="851"/>
          <w:tab w:val="left" w:pos="1418"/>
        </w:tabs>
        <w:ind w:left="0" w:firstLine="567"/>
      </w:pPr>
    </w:p>
    <w:p w:rsidR="00B57F9D" w:rsidRPr="00020763" w:rsidRDefault="00F922D9" w:rsidP="00020763">
      <w:pPr>
        <w:pStyle w:val="ParagraphNumbering"/>
        <w:numPr>
          <w:ilvl w:val="0"/>
          <w:numId w:val="28"/>
        </w:numPr>
        <w:tabs>
          <w:tab w:val="left" w:pos="567"/>
          <w:tab w:val="left" w:pos="851"/>
        </w:tabs>
        <w:spacing w:after="0"/>
        <w:ind w:left="0" w:firstLine="567"/>
        <w:jc w:val="both"/>
        <w:rPr>
          <w:sz w:val="28"/>
          <w:szCs w:val="28"/>
          <w:lang w:val="uk-UA"/>
        </w:rPr>
      </w:pPr>
      <w:r w:rsidRPr="00020763">
        <w:rPr>
          <w:sz w:val="28"/>
          <w:szCs w:val="28"/>
          <w:lang w:val="uk-UA"/>
        </w:rPr>
        <w:t xml:space="preserve">протягом 30 календарних днів </w:t>
      </w:r>
      <w:r w:rsidR="00A70C74" w:rsidRPr="00020763">
        <w:rPr>
          <w:sz w:val="28"/>
          <w:szCs w:val="28"/>
          <w:lang w:val="uk-UA"/>
        </w:rPr>
        <w:t>і</w:t>
      </w:r>
      <w:r w:rsidR="00F20395" w:rsidRPr="00020763">
        <w:rPr>
          <w:sz w:val="28"/>
          <w:szCs w:val="28"/>
          <w:lang w:val="uk-UA"/>
        </w:rPr>
        <w:t xml:space="preserve">з дня </w:t>
      </w:r>
      <w:r w:rsidR="00384703" w:rsidRPr="00020763">
        <w:rPr>
          <w:bCs/>
          <w:sz w:val="28"/>
          <w:szCs w:val="28"/>
          <w:lang w:val="uk-UA"/>
        </w:rPr>
        <w:t xml:space="preserve">отримання </w:t>
      </w:r>
      <w:r w:rsidR="00A70C74" w:rsidRPr="00020763">
        <w:rPr>
          <w:sz w:val="28"/>
          <w:szCs w:val="28"/>
          <w:lang w:val="uk-UA"/>
        </w:rPr>
        <w:t>програм</w:t>
      </w:r>
      <w:r w:rsidR="00DF6DBC" w:rsidRPr="00020763">
        <w:rPr>
          <w:sz w:val="28"/>
          <w:szCs w:val="28"/>
          <w:lang w:val="uk-UA"/>
        </w:rPr>
        <w:t>и</w:t>
      </w:r>
      <w:r w:rsidR="00384703" w:rsidRPr="00020763">
        <w:rPr>
          <w:sz w:val="28"/>
          <w:szCs w:val="28"/>
          <w:lang w:val="uk-UA"/>
        </w:rPr>
        <w:t xml:space="preserve"> капіталізації/реструктуризації </w:t>
      </w:r>
      <w:r w:rsidR="00DF6DBC" w:rsidRPr="00020763">
        <w:rPr>
          <w:sz w:val="28"/>
          <w:szCs w:val="28"/>
          <w:lang w:val="uk-UA"/>
        </w:rPr>
        <w:t>банку</w:t>
      </w:r>
      <w:r w:rsidR="00384703" w:rsidRPr="00020763">
        <w:rPr>
          <w:sz w:val="28"/>
          <w:szCs w:val="28"/>
          <w:lang w:val="uk-UA"/>
        </w:rPr>
        <w:t xml:space="preserve"> </w:t>
      </w:r>
      <w:r w:rsidR="007B0B5C" w:rsidRPr="00020763">
        <w:rPr>
          <w:sz w:val="28"/>
          <w:szCs w:val="28"/>
          <w:lang w:val="uk-UA"/>
        </w:rPr>
        <w:t xml:space="preserve">розглядає </w:t>
      </w:r>
      <w:r w:rsidR="00A70C74" w:rsidRPr="00020763">
        <w:rPr>
          <w:sz w:val="28"/>
          <w:szCs w:val="28"/>
          <w:lang w:val="uk-UA"/>
        </w:rPr>
        <w:t>ї</w:t>
      </w:r>
      <w:r w:rsidR="00DF6DBC" w:rsidRPr="00020763">
        <w:rPr>
          <w:sz w:val="28"/>
          <w:szCs w:val="28"/>
          <w:lang w:val="uk-UA"/>
        </w:rPr>
        <w:t>ї</w:t>
      </w:r>
      <w:r w:rsidR="00A70C74" w:rsidRPr="00020763">
        <w:rPr>
          <w:sz w:val="28"/>
          <w:szCs w:val="28"/>
          <w:lang w:val="uk-UA"/>
        </w:rPr>
        <w:t xml:space="preserve"> </w:t>
      </w:r>
      <w:r w:rsidR="007B0B5C" w:rsidRPr="00020763">
        <w:rPr>
          <w:sz w:val="28"/>
          <w:szCs w:val="28"/>
          <w:lang w:val="uk-UA"/>
        </w:rPr>
        <w:t>та</w:t>
      </w:r>
      <w:r w:rsidR="00D5429F" w:rsidRPr="00020763">
        <w:rPr>
          <w:sz w:val="28"/>
          <w:szCs w:val="28"/>
          <w:lang w:val="uk-UA"/>
        </w:rPr>
        <w:t>:</w:t>
      </w:r>
    </w:p>
    <w:p w:rsidR="009C0BE6" w:rsidRPr="00020763" w:rsidRDefault="009C0BE6" w:rsidP="00020763">
      <w:pPr>
        <w:shd w:val="clear" w:color="auto" w:fill="FFFFFF"/>
        <w:ind w:firstLine="567"/>
        <w:rPr>
          <w:i/>
        </w:rPr>
      </w:pPr>
      <w:r w:rsidRPr="00020763">
        <w:t xml:space="preserve">подає Правлінню Національного банку </w:t>
      </w:r>
      <w:r w:rsidRPr="00020763">
        <w:rPr>
          <w:bCs/>
        </w:rPr>
        <w:t>пропозиці</w:t>
      </w:r>
      <w:r w:rsidR="00276FC8">
        <w:rPr>
          <w:bCs/>
        </w:rPr>
        <w:t>ю</w:t>
      </w:r>
      <w:r w:rsidRPr="00020763">
        <w:t xml:space="preserve"> про погодження програми капіталізації/реструктуризації банку </w:t>
      </w:r>
      <w:r w:rsidR="000B7EA7">
        <w:t>в</w:t>
      </w:r>
      <w:r w:rsidRPr="00020763">
        <w:t xml:space="preserve"> разі її відповідності вимогам, </w:t>
      </w:r>
      <w:r w:rsidR="004C6413">
        <w:t>у</w:t>
      </w:r>
      <w:r w:rsidR="002C0657" w:rsidRPr="00020763">
        <w:t xml:space="preserve">становленим </w:t>
      </w:r>
      <w:r w:rsidR="00F20395" w:rsidRPr="00020763">
        <w:t>у додатку</w:t>
      </w:r>
      <w:r w:rsidR="002C0657" w:rsidRPr="00020763">
        <w:t xml:space="preserve"> до цих Правил</w:t>
      </w:r>
      <w:r w:rsidR="00337782" w:rsidRPr="00020763">
        <w:t>;</w:t>
      </w:r>
      <w:r w:rsidR="00F922D9" w:rsidRPr="00020763">
        <w:t xml:space="preserve"> </w:t>
      </w:r>
    </w:p>
    <w:p w:rsidR="00337782" w:rsidRPr="00020763" w:rsidRDefault="00337782" w:rsidP="00020763">
      <w:pPr>
        <w:pStyle w:val="ParagraphNumbering"/>
        <w:tabs>
          <w:tab w:val="left" w:pos="567"/>
          <w:tab w:val="left" w:pos="851"/>
        </w:tabs>
        <w:spacing w:after="0"/>
        <w:ind w:firstLine="567"/>
        <w:jc w:val="both"/>
        <w:rPr>
          <w:sz w:val="28"/>
          <w:szCs w:val="28"/>
          <w:lang w:val="uk-UA"/>
        </w:rPr>
      </w:pPr>
      <w:r w:rsidRPr="00020763">
        <w:rPr>
          <w:sz w:val="28"/>
          <w:szCs w:val="28"/>
          <w:lang w:val="uk-UA"/>
        </w:rPr>
        <w:t xml:space="preserve">приймає рішення про невідповідність поданої банком програми капіталізації/реструктуризації вимогам, </w:t>
      </w:r>
      <w:r w:rsidR="00820F6E">
        <w:rPr>
          <w:sz w:val="28"/>
          <w:szCs w:val="28"/>
          <w:lang w:val="uk-UA"/>
        </w:rPr>
        <w:t>у</w:t>
      </w:r>
      <w:r w:rsidRPr="00020763">
        <w:rPr>
          <w:sz w:val="28"/>
          <w:szCs w:val="28"/>
          <w:lang w:val="uk-UA"/>
        </w:rPr>
        <w:t xml:space="preserve">становленим у додатку до цих Правил, та про надання банку обґрунтованих зауважень; </w:t>
      </w:r>
    </w:p>
    <w:p w:rsidR="004C7DC1" w:rsidRPr="00020763" w:rsidRDefault="004C7DC1" w:rsidP="00020763">
      <w:pPr>
        <w:shd w:val="clear" w:color="auto" w:fill="FFFFFF"/>
        <w:ind w:firstLine="567"/>
      </w:pPr>
    </w:p>
    <w:p w:rsidR="004C7DC1" w:rsidRPr="00020763" w:rsidRDefault="006D1B0D" w:rsidP="00020763">
      <w:pPr>
        <w:pStyle w:val="ParagraphNumbering"/>
        <w:numPr>
          <w:ilvl w:val="0"/>
          <w:numId w:val="28"/>
        </w:numPr>
        <w:tabs>
          <w:tab w:val="left" w:pos="567"/>
          <w:tab w:val="left" w:pos="851"/>
        </w:tabs>
        <w:spacing w:after="0"/>
        <w:ind w:left="0" w:firstLine="567"/>
        <w:jc w:val="both"/>
        <w:rPr>
          <w:sz w:val="28"/>
          <w:szCs w:val="28"/>
          <w:lang w:val="uk-UA"/>
        </w:rPr>
      </w:pPr>
      <w:r w:rsidRPr="00020763">
        <w:rPr>
          <w:sz w:val="28"/>
          <w:szCs w:val="28"/>
          <w:lang w:val="uk-UA"/>
        </w:rPr>
        <w:t xml:space="preserve">протягом 14 календарних днів </w:t>
      </w:r>
      <w:r w:rsidR="00C541B6" w:rsidRPr="00020763">
        <w:rPr>
          <w:sz w:val="28"/>
          <w:szCs w:val="28"/>
          <w:lang w:val="uk-UA"/>
        </w:rPr>
        <w:t xml:space="preserve">із дня </w:t>
      </w:r>
      <w:r w:rsidR="00C541B6" w:rsidRPr="00020763">
        <w:rPr>
          <w:bCs/>
          <w:sz w:val="28"/>
          <w:szCs w:val="28"/>
          <w:lang w:val="uk-UA"/>
        </w:rPr>
        <w:t xml:space="preserve">отримання </w:t>
      </w:r>
      <w:r w:rsidR="00C541B6" w:rsidRPr="00020763">
        <w:rPr>
          <w:sz w:val="28"/>
          <w:szCs w:val="28"/>
          <w:lang w:val="uk-UA"/>
        </w:rPr>
        <w:t xml:space="preserve">доопрацьованої програми капіталізації/реструктуризації банку </w:t>
      </w:r>
      <w:r w:rsidR="004C7DC1" w:rsidRPr="00020763">
        <w:rPr>
          <w:sz w:val="28"/>
          <w:szCs w:val="28"/>
          <w:lang w:val="uk-UA"/>
        </w:rPr>
        <w:t xml:space="preserve">розглядає </w:t>
      </w:r>
      <w:r w:rsidR="00C541B6" w:rsidRPr="00020763">
        <w:rPr>
          <w:sz w:val="28"/>
          <w:szCs w:val="28"/>
          <w:lang w:val="uk-UA"/>
        </w:rPr>
        <w:t>її</w:t>
      </w:r>
      <w:r w:rsidR="004C7DC1" w:rsidRPr="00020763">
        <w:rPr>
          <w:sz w:val="28"/>
          <w:szCs w:val="28"/>
          <w:lang w:val="uk-UA"/>
        </w:rPr>
        <w:t xml:space="preserve"> та:</w:t>
      </w:r>
    </w:p>
    <w:p w:rsidR="006D1B0D" w:rsidRPr="00020763" w:rsidRDefault="006D1B0D" w:rsidP="00020763">
      <w:pPr>
        <w:pStyle w:val="ParagraphNumbering"/>
        <w:tabs>
          <w:tab w:val="left" w:pos="709"/>
          <w:tab w:val="left" w:pos="851"/>
        </w:tabs>
        <w:spacing w:after="0"/>
        <w:ind w:firstLine="567"/>
        <w:jc w:val="both"/>
        <w:rPr>
          <w:sz w:val="28"/>
          <w:szCs w:val="28"/>
          <w:lang w:val="uk-UA" w:eastAsia="uk-UA"/>
        </w:rPr>
      </w:pPr>
      <w:r w:rsidRPr="00020763">
        <w:rPr>
          <w:sz w:val="28"/>
          <w:szCs w:val="28"/>
          <w:lang w:val="uk-UA" w:eastAsia="uk-UA"/>
        </w:rPr>
        <w:t>подає Правлінню Національного банку пропозиці</w:t>
      </w:r>
      <w:r w:rsidR="00276FC8">
        <w:rPr>
          <w:sz w:val="28"/>
          <w:szCs w:val="28"/>
          <w:lang w:val="uk-UA" w:eastAsia="uk-UA"/>
        </w:rPr>
        <w:t>ю</w:t>
      </w:r>
      <w:r w:rsidRPr="00020763">
        <w:rPr>
          <w:sz w:val="28"/>
          <w:szCs w:val="28"/>
          <w:lang w:val="uk-UA" w:eastAsia="uk-UA"/>
        </w:rPr>
        <w:t xml:space="preserve"> про погодження доопрацьованої програми капіталізації/реструктуризації банку </w:t>
      </w:r>
      <w:r w:rsidR="000B7EA7">
        <w:rPr>
          <w:sz w:val="28"/>
          <w:szCs w:val="28"/>
          <w:lang w:val="uk-UA" w:eastAsia="uk-UA"/>
        </w:rPr>
        <w:t>в</w:t>
      </w:r>
      <w:r w:rsidRPr="00020763">
        <w:rPr>
          <w:sz w:val="28"/>
          <w:szCs w:val="28"/>
          <w:lang w:val="uk-UA" w:eastAsia="uk-UA"/>
        </w:rPr>
        <w:t xml:space="preserve"> разі її відповідності вимогам, </w:t>
      </w:r>
      <w:r w:rsidR="00820F6E">
        <w:rPr>
          <w:sz w:val="28"/>
          <w:szCs w:val="28"/>
          <w:lang w:val="uk-UA" w:eastAsia="uk-UA"/>
        </w:rPr>
        <w:t>у</w:t>
      </w:r>
      <w:r w:rsidRPr="00020763">
        <w:rPr>
          <w:sz w:val="28"/>
          <w:szCs w:val="28"/>
          <w:lang w:val="uk-UA" w:eastAsia="uk-UA"/>
        </w:rPr>
        <w:t xml:space="preserve">становленим </w:t>
      </w:r>
      <w:r w:rsidR="00F20395" w:rsidRPr="00020763">
        <w:rPr>
          <w:sz w:val="28"/>
          <w:szCs w:val="28"/>
          <w:lang w:val="uk-UA" w:eastAsia="uk-UA"/>
        </w:rPr>
        <w:t>у додатку</w:t>
      </w:r>
      <w:r w:rsidRPr="00020763">
        <w:rPr>
          <w:sz w:val="28"/>
          <w:szCs w:val="28"/>
          <w:lang w:val="uk-UA" w:eastAsia="uk-UA"/>
        </w:rPr>
        <w:t xml:space="preserve"> до цих Правил;</w:t>
      </w:r>
    </w:p>
    <w:p w:rsidR="006D1B0D" w:rsidRPr="00020763" w:rsidRDefault="006D1B0D" w:rsidP="00020763">
      <w:pPr>
        <w:shd w:val="clear" w:color="auto" w:fill="FFFFFF"/>
        <w:ind w:firstLine="567"/>
      </w:pPr>
      <w:r w:rsidRPr="00020763">
        <w:t xml:space="preserve">подає Правлінню Національного банку </w:t>
      </w:r>
      <w:r w:rsidRPr="00020763">
        <w:rPr>
          <w:bCs/>
        </w:rPr>
        <w:t>пропозиці</w:t>
      </w:r>
      <w:r w:rsidR="00276FC8">
        <w:rPr>
          <w:bCs/>
        </w:rPr>
        <w:t>ю</w:t>
      </w:r>
      <w:r w:rsidRPr="00020763">
        <w:t xml:space="preserve"> про невідповідність доопрацьованої банком програми капіталізації/реструктуризації вимогам, </w:t>
      </w:r>
      <w:r w:rsidR="00820F6E">
        <w:t>у</w:t>
      </w:r>
      <w:r w:rsidRPr="00020763">
        <w:t xml:space="preserve">становленим </w:t>
      </w:r>
      <w:r w:rsidR="00F20395" w:rsidRPr="00020763">
        <w:t>у додатку</w:t>
      </w:r>
      <w:r w:rsidRPr="00020763">
        <w:t xml:space="preserve"> до цих Правил, та про застосування до </w:t>
      </w:r>
      <w:r w:rsidR="00F867F7" w:rsidRPr="00020763">
        <w:t>банку адекватного заходу впливу.</w:t>
      </w:r>
    </w:p>
    <w:p w:rsidR="00F922D9" w:rsidRPr="00020763" w:rsidRDefault="00F922D9" w:rsidP="00020763">
      <w:pPr>
        <w:pStyle w:val="ParagraphNumbering"/>
        <w:tabs>
          <w:tab w:val="left" w:pos="567"/>
          <w:tab w:val="left" w:pos="851"/>
        </w:tabs>
        <w:spacing w:after="0"/>
        <w:ind w:firstLine="567"/>
        <w:jc w:val="both"/>
        <w:rPr>
          <w:sz w:val="28"/>
          <w:szCs w:val="28"/>
          <w:lang w:val="uk-UA"/>
        </w:rPr>
      </w:pPr>
    </w:p>
    <w:p w:rsidR="00EB1C3A" w:rsidRPr="00020763" w:rsidRDefault="00F4236D" w:rsidP="00020763">
      <w:pPr>
        <w:ind w:firstLine="567"/>
      </w:pPr>
      <w:r w:rsidRPr="00020763">
        <w:t>3</w:t>
      </w:r>
      <w:r w:rsidR="00D50C8C" w:rsidRPr="00020763">
        <w:rPr>
          <w:lang w:val="ru-RU"/>
        </w:rPr>
        <w:t>7</w:t>
      </w:r>
      <w:r w:rsidR="000B5B31" w:rsidRPr="00020763">
        <w:t>. </w:t>
      </w:r>
      <w:r w:rsidR="00C97CAA" w:rsidRPr="00020763">
        <w:t>Правління Національного банку за пропозицією Комітету з питань нагляду</w:t>
      </w:r>
      <w:r w:rsidR="00EB1C3A" w:rsidRPr="00020763">
        <w:t>:</w:t>
      </w:r>
    </w:p>
    <w:p w:rsidR="00EB1C3A" w:rsidRPr="00020763" w:rsidRDefault="00EB1C3A" w:rsidP="00020763">
      <w:pPr>
        <w:ind w:firstLine="567"/>
      </w:pPr>
    </w:p>
    <w:p w:rsidR="00EB1C3A" w:rsidRPr="00020763" w:rsidRDefault="00EB1C3A" w:rsidP="00020763">
      <w:pPr>
        <w:ind w:firstLine="567"/>
      </w:pPr>
      <w:r w:rsidRPr="00020763">
        <w:t>1)</w:t>
      </w:r>
      <w:r w:rsidR="00D55DE2" w:rsidRPr="00020763">
        <w:t xml:space="preserve"> затверджує результати оцінки стійкості</w:t>
      </w:r>
      <w:r w:rsidRPr="00020763">
        <w:t xml:space="preserve"> банку;</w:t>
      </w:r>
    </w:p>
    <w:p w:rsidR="00EB1C3A" w:rsidRPr="00020763" w:rsidRDefault="00EB1C3A" w:rsidP="00020763">
      <w:pPr>
        <w:ind w:firstLine="567"/>
      </w:pPr>
    </w:p>
    <w:p w:rsidR="009C0BE6" w:rsidRPr="00020763" w:rsidRDefault="00EB1C3A" w:rsidP="00020763">
      <w:pPr>
        <w:ind w:firstLine="567"/>
      </w:pPr>
      <w:r w:rsidRPr="00020763">
        <w:t>2)</w:t>
      </w:r>
      <w:r w:rsidR="00D55DE2" w:rsidRPr="00020763">
        <w:t xml:space="preserve"> </w:t>
      </w:r>
      <w:r w:rsidR="009C0BE6" w:rsidRPr="00020763">
        <w:t xml:space="preserve">погоджує програму капіталізації/реструктуризації банку або доопрацьовану програму капіталізації/реструктуризації банку в разі її відповідності вимогам, </w:t>
      </w:r>
      <w:r w:rsidR="00820F6E">
        <w:t>у</w:t>
      </w:r>
      <w:r w:rsidR="009C0BE6" w:rsidRPr="00020763">
        <w:t xml:space="preserve">становленим </w:t>
      </w:r>
      <w:r w:rsidR="009A604F" w:rsidRPr="00020763">
        <w:t>у додатку</w:t>
      </w:r>
      <w:r w:rsidR="00E91752" w:rsidRPr="00020763">
        <w:t xml:space="preserve"> до цих Правил</w:t>
      </w:r>
      <w:r w:rsidR="009C0BE6" w:rsidRPr="00020763">
        <w:t>;</w:t>
      </w:r>
    </w:p>
    <w:p w:rsidR="00F922D9" w:rsidRPr="00020763" w:rsidRDefault="00F922D9" w:rsidP="00020763">
      <w:pPr>
        <w:ind w:firstLine="567"/>
      </w:pPr>
    </w:p>
    <w:p w:rsidR="00EB1C3A" w:rsidRPr="00020763" w:rsidRDefault="00EB1C3A" w:rsidP="00020763">
      <w:pPr>
        <w:ind w:firstLine="567"/>
      </w:pPr>
      <w:r w:rsidRPr="00020763">
        <w:t>3)</w:t>
      </w:r>
      <w:r w:rsidR="00FE5448" w:rsidRPr="00020763">
        <w:t xml:space="preserve"> приймає рішення </w:t>
      </w:r>
      <w:r w:rsidR="006B6C9D" w:rsidRPr="00020763">
        <w:t xml:space="preserve">про невідповідність доопрацьованої банком програми капіталізації/реструктуризації вимогам, </w:t>
      </w:r>
      <w:r w:rsidR="00E23AA5">
        <w:t>у</w:t>
      </w:r>
      <w:r w:rsidR="006B6C9D" w:rsidRPr="00020763">
        <w:t xml:space="preserve">становленим </w:t>
      </w:r>
      <w:r w:rsidR="00B05C21" w:rsidRPr="00020763">
        <w:t>у додатку</w:t>
      </w:r>
      <w:r w:rsidR="00A70C74" w:rsidRPr="00020763">
        <w:t xml:space="preserve"> до цих Правил.</w:t>
      </w:r>
      <w:r w:rsidR="006B6C9D" w:rsidRPr="00020763">
        <w:t xml:space="preserve"> </w:t>
      </w:r>
    </w:p>
    <w:p w:rsidR="002104ED" w:rsidRPr="00020763" w:rsidRDefault="002104ED" w:rsidP="00020763">
      <w:pPr>
        <w:ind w:firstLine="567"/>
      </w:pPr>
    </w:p>
    <w:p w:rsidR="001260C0" w:rsidRPr="00020763" w:rsidRDefault="00D6135D" w:rsidP="00020763">
      <w:pPr>
        <w:tabs>
          <w:tab w:val="left" w:pos="709"/>
          <w:tab w:val="left" w:pos="993"/>
        </w:tabs>
        <w:ind w:firstLine="567"/>
      </w:pPr>
      <w:r w:rsidRPr="00020763">
        <w:t>3</w:t>
      </w:r>
      <w:r w:rsidR="001647B0" w:rsidRPr="00020763">
        <w:t>8</w:t>
      </w:r>
      <w:r w:rsidR="001260C0" w:rsidRPr="00020763">
        <w:t>. Банки, щодо яких за результатами стрес-тестування дотримання норматив</w:t>
      </w:r>
      <w:r w:rsidR="00900067" w:rsidRPr="00020763">
        <w:t>ів</w:t>
      </w:r>
      <w:r w:rsidR="001260C0" w:rsidRPr="00020763">
        <w:t xml:space="preserve"> Н2 та Н3 забезпечується</w:t>
      </w:r>
      <w:r w:rsidR="00D50C8C" w:rsidRPr="00020763">
        <w:t xml:space="preserve"> також </w:t>
      </w:r>
      <w:r w:rsidR="001260C0" w:rsidRPr="00020763">
        <w:t>за рахунок прибутку поточного року та/або прогнозних періодів, дотримуються таких обмежень щодо розподілу капіталу:</w:t>
      </w:r>
    </w:p>
    <w:p w:rsidR="001260C0" w:rsidRPr="00020763" w:rsidRDefault="001260C0" w:rsidP="00020763">
      <w:pPr>
        <w:tabs>
          <w:tab w:val="left" w:pos="709"/>
          <w:tab w:val="left" w:pos="993"/>
        </w:tabs>
        <w:ind w:firstLine="567"/>
      </w:pPr>
    </w:p>
    <w:p w:rsidR="001260C0" w:rsidRPr="00020763" w:rsidRDefault="001260C0" w:rsidP="00020763">
      <w:pPr>
        <w:shd w:val="clear" w:color="auto" w:fill="FFFFFF" w:themeFill="background1"/>
        <w:tabs>
          <w:tab w:val="left" w:pos="709"/>
          <w:tab w:val="left" w:pos="993"/>
        </w:tabs>
        <w:ind w:firstLine="567"/>
      </w:pPr>
      <w:r w:rsidRPr="00020763">
        <w:t xml:space="preserve">1) не </w:t>
      </w:r>
      <w:r w:rsidR="0080507F" w:rsidRPr="00020763">
        <w:t xml:space="preserve">здійснюють </w:t>
      </w:r>
      <w:r w:rsidRPr="00020763">
        <w:t>виплат</w:t>
      </w:r>
      <w:r w:rsidR="00856C63">
        <w:t>и</w:t>
      </w:r>
      <w:r w:rsidRPr="00020763">
        <w:t xml:space="preserve"> дивідендів акціонерам, крім виплати дивідендів за привілейованими акціями;</w:t>
      </w:r>
      <w:r w:rsidR="00FD334E" w:rsidRPr="00020763">
        <w:t xml:space="preserve"> </w:t>
      </w:r>
    </w:p>
    <w:p w:rsidR="001260C0" w:rsidRPr="00020763" w:rsidRDefault="001260C0" w:rsidP="00020763">
      <w:pPr>
        <w:shd w:val="clear" w:color="auto" w:fill="FFFFFF" w:themeFill="background1"/>
        <w:tabs>
          <w:tab w:val="left" w:pos="709"/>
          <w:tab w:val="left" w:pos="993"/>
        </w:tabs>
        <w:ind w:firstLine="567"/>
      </w:pPr>
    </w:p>
    <w:p w:rsidR="001260C0" w:rsidRPr="00020763" w:rsidRDefault="001260C0" w:rsidP="00020763">
      <w:pPr>
        <w:pStyle w:val="ParagraphNumbering"/>
        <w:shd w:val="clear" w:color="auto" w:fill="FFFFFF" w:themeFill="background1"/>
        <w:tabs>
          <w:tab w:val="left" w:pos="567"/>
          <w:tab w:val="left" w:pos="993"/>
        </w:tabs>
        <w:spacing w:after="0"/>
        <w:ind w:firstLine="567"/>
        <w:jc w:val="both"/>
        <w:rPr>
          <w:sz w:val="28"/>
          <w:szCs w:val="28"/>
          <w:lang w:val="uk-UA"/>
        </w:rPr>
      </w:pPr>
      <w:r w:rsidRPr="00020763">
        <w:rPr>
          <w:sz w:val="28"/>
          <w:szCs w:val="28"/>
          <w:lang w:val="uk-UA"/>
        </w:rPr>
        <w:t>2) не здійснюють розподіл</w:t>
      </w:r>
      <w:r w:rsidR="00856C63">
        <w:rPr>
          <w:sz w:val="28"/>
          <w:szCs w:val="28"/>
          <w:lang w:val="uk-UA"/>
        </w:rPr>
        <w:t>у</w:t>
      </w:r>
      <w:r w:rsidRPr="00020763">
        <w:rPr>
          <w:sz w:val="28"/>
          <w:szCs w:val="28"/>
          <w:lang w:val="uk-UA"/>
        </w:rPr>
        <w:t xml:space="preserve"> капіталу в будь-якій формі, крім спрямування прибутку на збільшення статутного капіталу, формування резервного фонду, покриття збитків минулих років.</w:t>
      </w:r>
    </w:p>
    <w:p w:rsidR="001260C0" w:rsidRPr="00020763" w:rsidRDefault="001260C0" w:rsidP="00020763">
      <w:pPr>
        <w:pStyle w:val="ParagraphNumbering"/>
        <w:tabs>
          <w:tab w:val="left" w:pos="567"/>
          <w:tab w:val="left" w:pos="993"/>
        </w:tabs>
        <w:spacing w:after="0"/>
        <w:ind w:firstLine="567"/>
        <w:jc w:val="both"/>
        <w:rPr>
          <w:sz w:val="28"/>
          <w:szCs w:val="28"/>
          <w:lang w:val="uk-UA"/>
        </w:rPr>
      </w:pPr>
    </w:p>
    <w:p w:rsidR="001260C0" w:rsidRPr="00020763" w:rsidRDefault="003109D5" w:rsidP="00020763">
      <w:pPr>
        <w:ind w:firstLine="567"/>
      </w:pPr>
      <w:r w:rsidRPr="00020763">
        <w:t>3</w:t>
      </w:r>
      <w:r w:rsidR="001647B0" w:rsidRPr="00020763">
        <w:t>9</w:t>
      </w:r>
      <w:r w:rsidR="001260C0" w:rsidRPr="00020763">
        <w:t xml:space="preserve">. Національний банк має право прийняти рішення про застосування до банку заходів впливу в разі невиконання банком вимог </w:t>
      </w:r>
      <w:r w:rsidR="00B57F9D" w:rsidRPr="00020763">
        <w:t>цих</w:t>
      </w:r>
      <w:r w:rsidR="00834626" w:rsidRPr="00020763">
        <w:t xml:space="preserve"> Правил</w:t>
      </w:r>
      <w:r w:rsidR="001260C0" w:rsidRPr="00020763">
        <w:t>, включаючи:</w:t>
      </w:r>
      <w:r w:rsidR="000114EB" w:rsidRPr="00020763">
        <w:t xml:space="preserve">   </w:t>
      </w:r>
    </w:p>
    <w:p w:rsidR="001260C0" w:rsidRPr="00020763" w:rsidRDefault="001260C0" w:rsidP="00020763">
      <w:pPr>
        <w:ind w:firstLine="567"/>
      </w:pPr>
    </w:p>
    <w:p w:rsidR="00DE4F63" w:rsidRPr="00020763" w:rsidRDefault="001260C0" w:rsidP="00020763">
      <w:pPr>
        <w:ind w:firstLine="567"/>
        <w:rPr>
          <w:lang w:eastAsia="ru-RU"/>
        </w:rPr>
      </w:pPr>
      <w:r w:rsidRPr="00020763">
        <w:rPr>
          <w:bCs/>
        </w:rPr>
        <w:t>1)</w:t>
      </w:r>
      <w:r w:rsidRPr="00020763">
        <w:t xml:space="preserve"> </w:t>
      </w:r>
      <w:proofErr w:type="spellStart"/>
      <w:r w:rsidR="004B1929" w:rsidRPr="00020763">
        <w:rPr>
          <w:bCs/>
        </w:rPr>
        <w:t>невиправлення</w:t>
      </w:r>
      <w:proofErr w:type="spellEnd"/>
      <w:r w:rsidR="004B1929" w:rsidRPr="00020763">
        <w:rPr>
          <w:bCs/>
        </w:rPr>
        <w:t xml:space="preserve"> </w:t>
      </w:r>
      <w:r w:rsidR="00DE4F63" w:rsidRPr="00020763">
        <w:rPr>
          <w:bCs/>
        </w:rPr>
        <w:t>банком</w:t>
      </w:r>
      <w:r w:rsidR="009F3A1F" w:rsidRPr="00020763">
        <w:rPr>
          <w:bCs/>
        </w:rPr>
        <w:t xml:space="preserve"> у встановлен</w:t>
      </w:r>
      <w:r w:rsidR="00D50C8C" w:rsidRPr="00020763">
        <w:rPr>
          <w:bCs/>
        </w:rPr>
        <w:t>і</w:t>
      </w:r>
      <w:r w:rsidR="009F3A1F" w:rsidRPr="00020763">
        <w:rPr>
          <w:bCs/>
        </w:rPr>
        <w:t xml:space="preserve"> </w:t>
      </w:r>
      <w:r w:rsidR="00856C63">
        <w:rPr>
          <w:bCs/>
        </w:rPr>
        <w:t>в</w:t>
      </w:r>
      <w:r w:rsidR="009F3A1F" w:rsidRPr="00020763">
        <w:rPr>
          <w:shd w:val="clear" w:color="auto" w:fill="FFFFFF"/>
        </w:rPr>
        <w:t xml:space="preserve"> пункті 2</w:t>
      </w:r>
      <w:r w:rsidR="00D50C8C" w:rsidRPr="00020763">
        <w:rPr>
          <w:shd w:val="clear" w:color="auto" w:fill="FFFFFF"/>
        </w:rPr>
        <w:t>8</w:t>
      </w:r>
      <w:r w:rsidR="009F3A1F" w:rsidRPr="00020763">
        <w:rPr>
          <w:shd w:val="clear" w:color="auto" w:fill="FFFFFF"/>
        </w:rPr>
        <w:t xml:space="preserve"> розділу </w:t>
      </w:r>
      <w:r w:rsidR="00D50C8C" w:rsidRPr="00020763">
        <w:rPr>
          <w:shd w:val="clear" w:color="auto" w:fill="FFFFFF"/>
        </w:rPr>
        <w:t>I</w:t>
      </w:r>
      <w:r w:rsidR="00D50C8C" w:rsidRPr="00020763">
        <w:rPr>
          <w:shd w:val="clear" w:color="auto" w:fill="FFFFFF"/>
          <w:lang w:val="en-US"/>
        </w:rPr>
        <w:t>V</w:t>
      </w:r>
      <w:r w:rsidR="00D50C8C" w:rsidRPr="00020763">
        <w:rPr>
          <w:shd w:val="clear" w:color="auto" w:fill="FFFFFF"/>
        </w:rPr>
        <w:t xml:space="preserve"> </w:t>
      </w:r>
      <w:r w:rsidR="009F3A1F" w:rsidRPr="00020763">
        <w:rPr>
          <w:shd w:val="clear" w:color="auto" w:fill="FFFFFF"/>
        </w:rPr>
        <w:t>цих Правил</w:t>
      </w:r>
      <w:r w:rsidR="009F3A1F" w:rsidRPr="00020763">
        <w:rPr>
          <w:bCs/>
        </w:rPr>
        <w:t xml:space="preserve"> строк</w:t>
      </w:r>
      <w:r w:rsidR="00D50C8C" w:rsidRPr="00020763">
        <w:rPr>
          <w:bCs/>
        </w:rPr>
        <w:t>и</w:t>
      </w:r>
      <w:r w:rsidR="00DE4F63" w:rsidRPr="00020763">
        <w:rPr>
          <w:bCs/>
        </w:rPr>
        <w:t xml:space="preserve"> </w:t>
      </w:r>
      <w:r w:rsidR="004B1929" w:rsidRPr="00020763">
        <w:rPr>
          <w:bCs/>
        </w:rPr>
        <w:t>недоліків</w:t>
      </w:r>
      <w:r w:rsidR="00117143" w:rsidRPr="00020763">
        <w:rPr>
          <w:bCs/>
        </w:rPr>
        <w:t>,</w:t>
      </w:r>
      <w:r w:rsidR="004B1929" w:rsidRPr="00020763">
        <w:rPr>
          <w:bCs/>
        </w:rPr>
        <w:t xml:space="preserve"> </w:t>
      </w:r>
      <w:r w:rsidR="00117143" w:rsidRPr="00020763">
        <w:rPr>
          <w:bCs/>
        </w:rPr>
        <w:t xml:space="preserve">виявлених Національним банком за результатами </w:t>
      </w:r>
      <w:r w:rsidR="00117143" w:rsidRPr="00020763">
        <w:rPr>
          <w:lang w:eastAsia="ru-RU"/>
        </w:rPr>
        <w:t>оцінк</w:t>
      </w:r>
      <w:r w:rsidR="00117143" w:rsidRPr="00020763">
        <w:rPr>
          <w:bCs/>
          <w:lang w:eastAsia="ru-RU"/>
        </w:rPr>
        <w:t>и</w:t>
      </w:r>
      <w:r w:rsidR="00117143" w:rsidRPr="00020763">
        <w:rPr>
          <w:lang w:eastAsia="ru-RU"/>
        </w:rPr>
        <w:t xml:space="preserve"> якості активів та прийнятності забезпечення за кредитними операціями</w:t>
      </w:r>
      <w:r w:rsidR="009F3A1F" w:rsidRPr="00020763">
        <w:rPr>
          <w:lang w:eastAsia="ru-RU"/>
        </w:rPr>
        <w:t xml:space="preserve"> під час першого етапу</w:t>
      </w:r>
      <w:r w:rsidR="00117143" w:rsidRPr="00020763">
        <w:rPr>
          <w:lang w:eastAsia="ru-RU"/>
        </w:rPr>
        <w:t>;</w:t>
      </w:r>
      <w:r w:rsidR="00DE296E" w:rsidRPr="00020763">
        <w:rPr>
          <w:lang w:eastAsia="ru-RU"/>
        </w:rPr>
        <w:t xml:space="preserve"> </w:t>
      </w:r>
    </w:p>
    <w:p w:rsidR="00464350" w:rsidRPr="00020763" w:rsidRDefault="00464350" w:rsidP="00020763">
      <w:pPr>
        <w:ind w:firstLine="567"/>
      </w:pPr>
    </w:p>
    <w:p w:rsidR="00573338" w:rsidRPr="00020763" w:rsidRDefault="004B1929" w:rsidP="00020763">
      <w:pPr>
        <w:ind w:firstLine="567"/>
      </w:pPr>
      <w:r w:rsidRPr="00020763">
        <w:t xml:space="preserve">2) </w:t>
      </w:r>
      <w:r w:rsidR="001260C0" w:rsidRPr="00020763">
        <w:t>неподання</w:t>
      </w:r>
      <w:r w:rsidR="000A3204" w:rsidRPr="00020763">
        <w:t xml:space="preserve"> банком програми капіталізації/</w:t>
      </w:r>
      <w:r w:rsidR="001260C0" w:rsidRPr="00020763">
        <w:t>реструктури</w:t>
      </w:r>
      <w:r w:rsidR="000C5270" w:rsidRPr="00020763">
        <w:t xml:space="preserve">зації </w:t>
      </w:r>
      <w:r w:rsidR="00296B29" w:rsidRPr="00020763">
        <w:t xml:space="preserve">та/або доопрацьованої програми капіталізації/реструктуризації </w:t>
      </w:r>
      <w:r w:rsidR="00296B29" w:rsidRPr="00020763">
        <w:rPr>
          <w:bCs/>
        </w:rPr>
        <w:t xml:space="preserve">у </w:t>
      </w:r>
      <w:r w:rsidR="000754AE" w:rsidRPr="00020763">
        <w:rPr>
          <w:bCs/>
        </w:rPr>
        <w:t>строк</w:t>
      </w:r>
      <w:r w:rsidR="00847789" w:rsidRPr="00020763">
        <w:rPr>
          <w:bCs/>
        </w:rPr>
        <w:t>и</w:t>
      </w:r>
      <w:r w:rsidR="000754AE" w:rsidRPr="00020763">
        <w:rPr>
          <w:bCs/>
        </w:rPr>
        <w:t xml:space="preserve">, </w:t>
      </w:r>
      <w:r w:rsidR="00E23AA5">
        <w:rPr>
          <w:bCs/>
        </w:rPr>
        <w:t>у</w:t>
      </w:r>
      <w:r w:rsidR="00847789" w:rsidRPr="00020763">
        <w:rPr>
          <w:bCs/>
        </w:rPr>
        <w:t>становлені</w:t>
      </w:r>
      <w:r w:rsidR="00296B29" w:rsidRPr="00020763">
        <w:rPr>
          <w:bCs/>
        </w:rPr>
        <w:t xml:space="preserve"> </w:t>
      </w:r>
      <w:r w:rsidR="00856C63">
        <w:rPr>
          <w:bCs/>
        </w:rPr>
        <w:t>в</w:t>
      </w:r>
      <w:r w:rsidR="00296B29" w:rsidRPr="00020763">
        <w:t xml:space="preserve"> пунктах </w:t>
      </w:r>
      <w:r w:rsidR="001647B0" w:rsidRPr="00020763">
        <w:t>31</w:t>
      </w:r>
      <w:r w:rsidR="00296B29" w:rsidRPr="00020763">
        <w:t xml:space="preserve">, </w:t>
      </w:r>
      <w:r w:rsidR="001647B0" w:rsidRPr="00020763">
        <w:t xml:space="preserve">33 </w:t>
      </w:r>
      <w:r w:rsidR="00296B29" w:rsidRPr="00020763">
        <w:t>розділу I</w:t>
      </w:r>
      <w:r w:rsidR="001647B0" w:rsidRPr="00020763">
        <w:rPr>
          <w:shd w:val="clear" w:color="auto" w:fill="FFFFFF"/>
          <w:lang w:val="en-US"/>
        </w:rPr>
        <w:t>V</w:t>
      </w:r>
      <w:r w:rsidR="00296B29" w:rsidRPr="00020763">
        <w:t xml:space="preserve"> цих Правил</w:t>
      </w:r>
      <w:r w:rsidR="001260C0" w:rsidRPr="00020763">
        <w:t>;</w:t>
      </w:r>
    </w:p>
    <w:p w:rsidR="00573338" w:rsidRPr="00020763" w:rsidRDefault="00573338" w:rsidP="00020763">
      <w:pPr>
        <w:ind w:firstLine="567"/>
      </w:pPr>
    </w:p>
    <w:p w:rsidR="00BB1F38" w:rsidRPr="00020763" w:rsidRDefault="00A70C74" w:rsidP="00020763">
      <w:pPr>
        <w:pStyle w:val="af3"/>
        <w:numPr>
          <w:ilvl w:val="0"/>
          <w:numId w:val="40"/>
        </w:numPr>
        <w:tabs>
          <w:tab w:val="left" w:pos="993"/>
        </w:tabs>
        <w:ind w:left="0" w:firstLine="567"/>
      </w:pPr>
      <w:r w:rsidRPr="00020763">
        <w:rPr>
          <w:bCs/>
        </w:rPr>
        <w:t xml:space="preserve">подання банком </w:t>
      </w:r>
      <w:r w:rsidR="00573338" w:rsidRPr="00020763">
        <w:t>доопрацьованої програми капіталізації/</w:t>
      </w:r>
      <w:r w:rsidR="00DF6DBC" w:rsidRPr="00020763">
        <w:t xml:space="preserve"> </w:t>
      </w:r>
      <w:r w:rsidR="00573338" w:rsidRPr="00020763">
        <w:t>реструктуризації</w:t>
      </w:r>
      <w:r w:rsidRPr="00020763">
        <w:t>, що</w:t>
      </w:r>
      <w:r w:rsidR="00573338" w:rsidRPr="00020763">
        <w:t xml:space="preserve"> </w:t>
      </w:r>
      <w:r w:rsidRPr="00020763">
        <w:rPr>
          <w:bCs/>
        </w:rPr>
        <w:t>не відповідає</w:t>
      </w:r>
      <w:r w:rsidRPr="00020763">
        <w:t xml:space="preserve"> </w:t>
      </w:r>
      <w:r w:rsidR="00573338" w:rsidRPr="00020763">
        <w:t xml:space="preserve">вимогам, </w:t>
      </w:r>
      <w:r w:rsidR="00E23AA5">
        <w:t>у</w:t>
      </w:r>
      <w:r w:rsidR="00573338" w:rsidRPr="00020763">
        <w:t xml:space="preserve">становленим </w:t>
      </w:r>
      <w:r w:rsidRPr="00020763">
        <w:t>у додатку</w:t>
      </w:r>
      <w:r w:rsidR="00573338" w:rsidRPr="00020763">
        <w:t xml:space="preserve"> до цих Правил</w:t>
      </w:r>
      <w:r w:rsidR="00BB1F38" w:rsidRPr="00020763">
        <w:rPr>
          <w:bCs/>
        </w:rPr>
        <w:t>;</w:t>
      </w:r>
    </w:p>
    <w:p w:rsidR="001260C0" w:rsidRPr="00020763" w:rsidRDefault="001260C0" w:rsidP="00020763">
      <w:pPr>
        <w:ind w:firstLine="567"/>
        <w:rPr>
          <w:bCs/>
        </w:rPr>
      </w:pPr>
    </w:p>
    <w:p w:rsidR="000536C4" w:rsidRPr="00020763" w:rsidRDefault="00BB1F38" w:rsidP="00020763">
      <w:pPr>
        <w:ind w:firstLine="567"/>
        <w:rPr>
          <w:bCs/>
        </w:rPr>
      </w:pPr>
      <w:r w:rsidRPr="00020763">
        <w:rPr>
          <w:bCs/>
        </w:rPr>
        <w:t>4</w:t>
      </w:r>
      <w:r w:rsidR="000536C4" w:rsidRPr="00020763">
        <w:rPr>
          <w:bCs/>
        </w:rPr>
        <w:t xml:space="preserve">) недосягнення банком планових показників </w:t>
      </w:r>
      <w:r w:rsidR="00011CAD">
        <w:rPr>
          <w:bCs/>
        </w:rPr>
        <w:t>за</w:t>
      </w:r>
      <w:r w:rsidR="000536C4" w:rsidRPr="00020763">
        <w:rPr>
          <w:bCs/>
        </w:rPr>
        <w:t xml:space="preserve"> </w:t>
      </w:r>
      <w:r w:rsidR="009F3A1F" w:rsidRPr="00020763">
        <w:rPr>
          <w:bCs/>
        </w:rPr>
        <w:t>розміра</w:t>
      </w:r>
      <w:r w:rsidR="00011CAD">
        <w:rPr>
          <w:bCs/>
        </w:rPr>
        <w:t>ми</w:t>
      </w:r>
      <w:r w:rsidR="009F3A1F" w:rsidRPr="00020763">
        <w:rPr>
          <w:bCs/>
        </w:rPr>
        <w:t xml:space="preserve"> та у </w:t>
      </w:r>
      <w:r w:rsidR="000536C4" w:rsidRPr="00020763">
        <w:rPr>
          <w:bCs/>
        </w:rPr>
        <w:t>строки</w:t>
      </w:r>
      <w:r w:rsidR="00117228" w:rsidRPr="00020763">
        <w:rPr>
          <w:bCs/>
        </w:rPr>
        <w:t>,</w:t>
      </w:r>
      <w:r w:rsidR="000536C4" w:rsidRPr="00020763">
        <w:rPr>
          <w:bCs/>
        </w:rPr>
        <w:t xml:space="preserve"> </w:t>
      </w:r>
      <w:r w:rsidR="00011CAD">
        <w:rPr>
          <w:bCs/>
        </w:rPr>
        <w:t xml:space="preserve">що </w:t>
      </w:r>
      <w:r w:rsidR="009F3A1F" w:rsidRPr="00020763">
        <w:rPr>
          <w:bCs/>
        </w:rPr>
        <w:t>визначен</w:t>
      </w:r>
      <w:r w:rsidR="00117228" w:rsidRPr="00020763">
        <w:rPr>
          <w:bCs/>
        </w:rPr>
        <w:t>і</w:t>
      </w:r>
      <w:r w:rsidR="009F3A1F" w:rsidRPr="00020763">
        <w:rPr>
          <w:bCs/>
        </w:rPr>
        <w:t xml:space="preserve"> програмою капіталізації/реструктуризації, погоджен</w:t>
      </w:r>
      <w:r w:rsidR="001647B0" w:rsidRPr="00020763">
        <w:rPr>
          <w:bCs/>
        </w:rPr>
        <w:t>о</w:t>
      </w:r>
      <w:r w:rsidR="00C465C1" w:rsidRPr="00020763">
        <w:rPr>
          <w:bCs/>
        </w:rPr>
        <w:t>ю</w:t>
      </w:r>
      <w:r w:rsidR="009F3A1F" w:rsidRPr="00020763">
        <w:rPr>
          <w:bCs/>
        </w:rPr>
        <w:t xml:space="preserve"> </w:t>
      </w:r>
      <w:r w:rsidR="00117228" w:rsidRPr="00020763">
        <w:rPr>
          <w:bCs/>
        </w:rPr>
        <w:t xml:space="preserve">Національним </w:t>
      </w:r>
      <w:r w:rsidR="00117228" w:rsidRPr="00020763">
        <w:rPr>
          <w:bCs/>
        </w:rPr>
        <w:lastRenderedPageBreak/>
        <w:t xml:space="preserve">банком </w:t>
      </w:r>
      <w:r w:rsidR="00B56590" w:rsidRPr="00020763">
        <w:rPr>
          <w:bCs/>
        </w:rPr>
        <w:t>[</w:t>
      </w:r>
      <w:r w:rsidR="000536C4" w:rsidRPr="00020763">
        <w:t xml:space="preserve">значень </w:t>
      </w:r>
      <w:r w:rsidR="00051E34">
        <w:t xml:space="preserve">розміру </w:t>
      </w:r>
      <w:r w:rsidR="000536C4" w:rsidRPr="00020763">
        <w:t>регулятивного</w:t>
      </w:r>
      <w:r w:rsidR="00F867F7" w:rsidRPr="00020763">
        <w:t>/основного</w:t>
      </w:r>
      <w:r w:rsidR="000536C4" w:rsidRPr="00020763">
        <w:t xml:space="preserve"> капіталу</w:t>
      </w:r>
      <w:r w:rsidR="00117228" w:rsidRPr="00020763">
        <w:t xml:space="preserve"> (</w:t>
      </w:r>
      <w:r w:rsidR="000536C4" w:rsidRPr="00020763">
        <w:t xml:space="preserve">якщо за результатами першого етапу оцінки стійкості банк не мав позитивного значення </w:t>
      </w:r>
      <w:r w:rsidR="00051E34">
        <w:t xml:space="preserve">розміру </w:t>
      </w:r>
      <w:r w:rsidR="000536C4" w:rsidRPr="00020763">
        <w:t>капіталу</w:t>
      </w:r>
      <w:r w:rsidR="00117228" w:rsidRPr="00020763">
        <w:t>)</w:t>
      </w:r>
      <w:r w:rsidR="000536C4" w:rsidRPr="00020763">
        <w:t>;</w:t>
      </w:r>
      <w:r w:rsidR="00117228" w:rsidRPr="00020763">
        <w:t xml:space="preserve"> </w:t>
      </w:r>
      <w:r w:rsidR="000536C4" w:rsidRPr="00020763">
        <w:rPr>
          <w:bCs/>
          <w:shd w:val="clear" w:color="auto" w:fill="FFFFFF"/>
        </w:rPr>
        <w:t xml:space="preserve">необхідних рівнів нормативів достатності капіталу, визначених </w:t>
      </w:r>
      <w:r w:rsidR="000536C4" w:rsidRPr="00020763">
        <w:t>за результатами оцінки стійкості</w:t>
      </w:r>
      <w:r w:rsidR="00B56590" w:rsidRPr="00020763">
        <w:t>]</w:t>
      </w:r>
      <w:r w:rsidR="000536C4" w:rsidRPr="00020763">
        <w:t>;</w:t>
      </w:r>
    </w:p>
    <w:p w:rsidR="000536C4" w:rsidRPr="00020763" w:rsidRDefault="000536C4" w:rsidP="00020763">
      <w:pPr>
        <w:ind w:firstLine="567"/>
        <w:rPr>
          <w:bCs/>
        </w:rPr>
      </w:pPr>
    </w:p>
    <w:p w:rsidR="001260C0" w:rsidRPr="00020763" w:rsidRDefault="00C26FDC" w:rsidP="00020763">
      <w:pPr>
        <w:pStyle w:val="ParagraphNumbering"/>
        <w:tabs>
          <w:tab w:val="left" w:pos="567"/>
          <w:tab w:val="left" w:pos="993"/>
        </w:tabs>
        <w:spacing w:after="0"/>
        <w:ind w:firstLine="567"/>
        <w:jc w:val="both"/>
        <w:rPr>
          <w:sz w:val="28"/>
          <w:szCs w:val="28"/>
          <w:lang w:val="uk-UA"/>
        </w:rPr>
      </w:pPr>
      <w:r w:rsidRPr="00020763">
        <w:rPr>
          <w:bCs/>
          <w:sz w:val="28"/>
          <w:szCs w:val="28"/>
          <w:lang w:val="uk-UA"/>
        </w:rPr>
        <w:t>5</w:t>
      </w:r>
      <w:r w:rsidR="001260C0" w:rsidRPr="00020763">
        <w:rPr>
          <w:bCs/>
          <w:sz w:val="28"/>
          <w:szCs w:val="28"/>
          <w:lang w:val="uk-UA"/>
        </w:rPr>
        <w:t>)</w:t>
      </w:r>
      <w:r w:rsidR="001260C0" w:rsidRPr="00020763">
        <w:rPr>
          <w:sz w:val="28"/>
          <w:szCs w:val="28"/>
          <w:lang w:val="uk-UA"/>
        </w:rPr>
        <w:t xml:space="preserve"> порушення банком вимог Положення №</w:t>
      </w:r>
      <w:r w:rsidR="00B52D53" w:rsidRPr="00020763">
        <w:rPr>
          <w:sz w:val="28"/>
          <w:szCs w:val="28"/>
          <w:lang w:val="uk-UA"/>
        </w:rPr>
        <w:t> </w:t>
      </w:r>
      <w:r w:rsidR="001260C0" w:rsidRPr="00020763">
        <w:rPr>
          <w:sz w:val="28"/>
          <w:szCs w:val="28"/>
          <w:lang w:val="uk-UA"/>
        </w:rPr>
        <w:t>351</w:t>
      </w:r>
      <w:r w:rsidR="00917B7A" w:rsidRPr="00020763">
        <w:rPr>
          <w:sz w:val="28"/>
          <w:szCs w:val="28"/>
          <w:lang w:val="uk-UA"/>
        </w:rPr>
        <w:t xml:space="preserve"> та </w:t>
      </w:r>
      <w:r w:rsidR="00917B7A" w:rsidRPr="00020763">
        <w:rPr>
          <w:bCs/>
          <w:sz w:val="28"/>
          <w:szCs w:val="28"/>
          <w:lang w:val="uk-UA"/>
        </w:rPr>
        <w:t>П</w:t>
      </w:r>
      <w:r w:rsidR="008D6BB1" w:rsidRPr="00020763">
        <w:rPr>
          <w:bCs/>
          <w:sz w:val="28"/>
          <w:szCs w:val="28"/>
          <w:lang w:val="uk-UA"/>
        </w:rPr>
        <w:t>равил</w:t>
      </w:r>
      <w:r w:rsidR="00917B7A" w:rsidRPr="00020763">
        <w:rPr>
          <w:bCs/>
          <w:sz w:val="28"/>
          <w:szCs w:val="28"/>
          <w:lang w:val="uk-UA"/>
        </w:rPr>
        <w:t xml:space="preserve"> №</w:t>
      </w:r>
      <w:r w:rsidR="00B52D53" w:rsidRPr="00020763">
        <w:rPr>
          <w:sz w:val="28"/>
          <w:szCs w:val="28"/>
          <w:lang w:val="uk-UA"/>
        </w:rPr>
        <w:t> </w:t>
      </w:r>
      <w:r w:rsidR="00917B7A" w:rsidRPr="00020763">
        <w:rPr>
          <w:bCs/>
          <w:sz w:val="28"/>
          <w:szCs w:val="28"/>
          <w:lang w:val="uk-UA"/>
        </w:rPr>
        <w:t>23</w:t>
      </w:r>
      <w:r w:rsidR="001260C0" w:rsidRPr="00020763">
        <w:rPr>
          <w:sz w:val="28"/>
          <w:szCs w:val="28"/>
          <w:lang w:val="uk-UA"/>
        </w:rPr>
        <w:t>.</w:t>
      </w:r>
    </w:p>
    <w:p w:rsidR="001260C0" w:rsidRPr="00020763" w:rsidRDefault="001260C0" w:rsidP="00020763">
      <w:pPr>
        <w:pStyle w:val="ParagraphNumbering"/>
        <w:tabs>
          <w:tab w:val="left" w:pos="567"/>
          <w:tab w:val="left" w:pos="993"/>
        </w:tabs>
        <w:spacing w:after="0"/>
        <w:ind w:firstLine="567"/>
        <w:jc w:val="both"/>
        <w:rPr>
          <w:sz w:val="28"/>
          <w:szCs w:val="28"/>
          <w:lang w:val="uk-UA"/>
        </w:rPr>
      </w:pPr>
    </w:p>
    <w:p w:rsidR="001260C0" w:rsidRPr="00020763" w:rsidRDefault="001260C0" w:rsidP="00020763">
      <w:pPr>
        <w:pStyle w:val="ParagraphNumbering"/>
        <w:tabs>
          <w:tab w:val="left" w:pos="567"/>
          <w:tab w:val="left" w:pos="993"/>
        </w:tabs>
        <w:spacing w:after="0"/>
        <w:ind w:firstLine="567"/>
        <w:jc w:val="center"/>
        <w:rPr>
          <w:sz w:val="28"/>
          <w:szCs w:val="28"/>
          <w:lang w:val="uk-UA"/>
        </w:rPr>
      </w:pPr>
      <w:r w:rsidRPr="00020763">
        <w:rPr>
          <w:bCs/>
          <w:sz w:val="28"/>
          <w:szCs w:val="28"/>
          <w:lang w:val="uk-UA" w:eastAsia="uk-UA"/>
        </w:rPr>
        <w:t>V. Опублікування результатів оцінки стійкості банків і</w:t>
      </w:r>
      <w:r w:rsidR="004546C5" w:rsidRPr="00020763">
        <w:rPr>
          <w:bCs/>
          <w:sz w:val="28"/>
          <w:szCs w:val="28"/>
          <w:lang w:val="uk-UA" w:eastAsia="uk-UA"/>
        </w:rPr>
        <w:br/>
      </w:r>
      <w:r w:rsidRPr="00020763">
        <w:rPr>
          <w:bCs/>
          <w:sz w:val="28"/>
          <w:szCs w:val="28"/>
          <w:lang w:val="uk-UA" w:eastAsia="uk-UA"/>
        </w:rPr>
        <w:t>банківської системи України</w:t>
      </w:r>
    </w:p>
    <w:p w:rsidR="001260C0" w:rsidRPr="00020763" w:rsidRDefault="001260C0" w:rsidP="00020763">
      <w:pPr>
        <w:pStyle w:val="ParagraphNumbering"/>
        <w:tabs>
          <w:tab w:val="left" w:pos="567"/>
          <w:tab w:val="left" w:pos="993"/>
        </w:tabs>
        <w:spacing w:after="0"/>
        <w:ind w:firstLine="567"/>
        <w:jc w:val="both"/>
        <w:rPr>
          <w:sz w:val="28"/>
          <w:szCs w:val="28"/>
          <w:lang w:val="uk-UA"/>
        </w:rPr>
      </w:pPr>
    </w:p>
    <w:p w:rsidR="001260C0" w:rsidRPr="00020763" w:rsidRDefault="001647B0" w:rsidP="00020763">
      <w:pPr>
        <w:pStyle w:val="ParagraphNumbering"/>
        <w:tabs>
          <w:tab w:val="left" w:pos="567"/>
          <w:tab w:val="left" w:pos="993"/>
        </w:tabs>
        <w:spacing w:after="0"/>
        <w:ind w:firstLine="567"/>
        <w:jc w:val="both"/>
        <w:rPr>
          <w:sz w:val="28"/>
          <w:szCs w:val="28"/>
          <w:lang w:val="uk-UA" w:eastAsia="uk-UA"/>
        </w:rPr>
      </w:pPr>
      <w:r w:rsidRPr="00020763">
        <w:rPr>
          <w:sz w:val="28"/>
          <w:szCs w:val="28"/>
          <w:lang w:val="uk-UA"/>
        </w:rPr>
        <w:t>40</w:t>
      </w:r>
      <w:r w:rsidR="001260C0" w:rsidRPr="00020763">
        <w:rPr>
          <w:sz w:val="28"/>
          <w:szCs w:val="28"/>
          <w:lang w:val="uk-UA"/>
        </w:rPr>
        <w:t xml:space="preserve">. Національний банк </w:t>
      </w:r>
      <w:r w:rsidR="001260C0" w:rsidRPr="00020763">
        <w:rPr>
          <w:sz w:val="28"/>
          <w:szCs w:val="28"/>
          <w:lang w:val="uk-UA" w:eastAsia="uk-UA"/>
        </w:rPr>
        <w:t>надсилає банку результати оцінки стійкості не</w:t>
      </w:r>
      <w:r w:rsidR="00F604B5" w:rsidRPr="00020763">
        <w:rPr>
          <w:sz w:val="28"/>
          <w:szCs w:val="28"/>
          <w:lang w:val="uk-UA"/>
        </w:rPr>
        <w:t> </w:t>
      </w:r>
      <w:r w:rsidR="001260C0" w:rsidRPr="00020763">
        <w:rPr>
          <w:sz w:val="28"/>
          <w:szCs w:val="28"/>
          <w:lang w:val="uk-UA" w:eastAsia="uk-UA"/>
        </w:rPr>
        <w:t xml:space="preserve"> пізніше с</w:t>
      </w:r>
      <w:r w:rsidR="000C5270" w:rsidRPr="00020763">
        <w:rPr>
          <w:sz w:val="28"/>
          <w:szCs w:val="28"/>
          <w:lang w:val="uk-UA" w:eastAsia="uk-UA"/>
        </w:rPr>
        <w:t xml:space="preserve">троків, </w:t>
      </w:r>
      <w:r w:rsidR="00E23AA5">
        <w:rPr>
          <w:sz w:val="28"/>
          <w:szCs w:val="28"/>
          <w:lang w:val="uk-UA" w:eastAsia="uk-UA"/>
        </w:rPr>
        <w:t>у</w:t>
      </w:r>
      <w:r w:rsidR="000C5270" w:rsidRPr="00020763">
        <w:rPr>
          <w:sz w:val="28"/>
          <w:szCs w:val="28"/>
          <w:lang w:val="uk-UA" w:eastAsia="uk-UA"/>
        </w:rPr>
        <w:t xml:space="preserve">становлених у пункті </w:t>
      </w:r>
      <w:r w:rsidR="00F17BB7" w:rsidRPr="00020763">
        <w:rPr>
          <w:sz w:val="28"/>
          <w:szCs w:val="28"/>
          <w:lang w:val="uk-UA" w:eastAsia="uk-UA"/>
        </w:rPr>
        <w:t>2</w:t>
      </w:r>
      <w:r w:rsidRPr="00020763">
        <w:rPr>
          <w:sz w:val="28"/>
          <w:szCs w:val="28"/>
          <w:lang w:val="uk-UA" w:eastAsia="uk-UA"/>
        </w:rPr>
        <w:t>9</w:t>
      </w:r>
      <w:r w:rsidR="001260C0" w:rsidRPr="00020763">
        <w:rPr>
          <w:sz w:val="28"/>
          <w:szCs w:val="28"/>
          <w:lang w:val="uk-UA" w:eastAsia="uk-UA"/>
        </w:rPr>
        <w:t xml:space="preserve"> розділу І</w:t>
      </w:r>
      <w:r w:rsidRPr="00020763">
        <w:rPr>
          <w:sz w:val="28"/>
          <w:szCs w:val="28"/>
          <w:shd w:val="clear" w:color="auto" w:fill="FFFFFF"/>
        </w:rPr>
        <w:t>V</w:t>
      </w:r>
      <w:r w:rsidR="001260C0" w:rsidRPr="00020763">
        <w:rPr>
          <w:sz w:val="28"/>
          <w:szCs w:val="28"/>
          <w:lang w:val="uk-UA" w:eastAsia="uk-UA"/>
        </w:rPr>
        <w:t xml:space="preserve"> </w:t>
      </w:r>
      <w:r w:rsidR="00834626" w:rsidRPr="00020763">
        <w:rPr>
          <w:sz w:val="28"/>
          <w:szCs w:val="28"/>
          <w:lang w:val="uk-UA"/>
        </w:rPr>
        <w:t>цих Правил</w:t>
      </w:r>
      <w:r w:rsidR="001260C0" w:rsidRPr="00020763">
        <w:rPr>
          <w:sz w:val="28"/>
          <w:szCs w:val="28"/>
          <w:lang w:val="uk-UA" w:eastAsia="uk-UA"/>
        </w:rPr>
        <w:t>.</w:t>
      </w:r>
      <w:r w:rsidR="00900067" w:rsidRPr="00020763">
        <w:rPr>
          <w:sz w:val="28"/>
          <w:szCs w:val="28"/>
          <w:lang w:val="uk-UA" w:eastAsia="uk-UA"/>
        </w:rPr>
        <w:t xml:space="preserve"> </w:t>
      </w:r>
    </w:p>
    <w:p w:rsidR="00B410F0" w:rsidRPr="00020763" w:rsidRDefault="00B410F0" w:rsidP="00020763">
      <w:pPr>
        <w:pStyle w:val="ParagraphNumbering"/>
        <w:tabs>
          <w:tab w:val="left" w:pos="567"/>
          <w:tab w:val="left" w:pos="993"/>
        </w:tabs>
        <w:spacing w:after="0"/>
        <w:ind w:firstLine="567"/>
        <w:jc w:val="both"/>
        <w:rPr>
          <w:sz w:val="28"/>
          <w:szCs w:val="28"/>
          <w:lang w:val="uk-UA" w:eastAsia="uk-UA"/>
        </w:rPr>
      </w:pPr>
    </w:p>
    <w:p w:rsidR="00473BE7" w:rsidRPr="006C35C5" w:rsidRDefault="001647B0" w:rsidP="00020763">
      <w:pPr>
        <w:pStyle w:val="ParagraphNumbering"/>
        <w:tabs>
          <w:tab w:val="left" w:pos="567"/>
          <w:tab w:val="left" w:pos="993"/>
        </w:tabs>
        <w:spacing w:after="0"/>
        <w:ind w:firstLine="567"/>
        <w:jc w:val="both"/>
        <w:rPr>
          <w:sz w:val="28"/>
          <w:szCs w:val="28"/>
          <w:lang w:val="uk-UA"/>
        </w:rPr>
      </w:pPr>
      <w:r w:rsidRPr="00020763">
        <w:rPr>
          <w:sz w:val="28"/>
          <w:szCs w:val="28"/>
          <w:shd w:val="clear" w:color="auto" w:fill="FFFFFF" w:themeFill="background1"/>
          <w:lang w:val="uk-UA"/>
        </w:rPr>
        <w:t>41</w:t>
      </w:r>
      <w:r w:rsidR="00473BE7" w:rsidRPr="00020763">
        <w:rPr>
          <w:sz w:val="28"/>
          <w:szCs w:val="28"/>
          <w:shd w:val="clear" w:color="auto" w:fill="FFFFFF" w:themeFill="background1"/>
          <w:lang w:val="uk-UA"/>
        </w:rPr>
        <w:t>. Національний банк опубліковує результати оцінки стійкості банків</w:t>
      </w:r>
      <w:r w:rsidR="00B410F0" w:rsidRPr="00020763">
        <w:rPr>
          <w:sz w:val="28"/>
          <w:szCs w:val="28"/>
          <w:shd w:val="clear" w:color="auto" w:fill="FFFFFF" w:themeFill="background1"/>
          <w:lang w:val="uk-UA"/>
        </w:rPr>
        <w:t xml:space="preserve"> </w:t>
      </w:r>
      <w:r w:rsidR="00473BE7" w:rsidRPr="00020763">
        <w:rPr>
          <w:sz w:val="28"/>
          <w:szCs w:val="28"/>
          <w:shd w:val="clear" w:color="auto" w:fill="FFFFFF" w:themeFill="background1"/>
          <w:lang w:val="uk-UA"/>
        </w:rPr>
        <w:t xml:space="preserve">і банківської системи України </w:t>
      </w:r>
      <w:r w:rsidR="00050D0B" w:rsidRPr="00020763">
        <w:rPr>
          <w:sz w:val="28"/>
          <w:szCs w:val="28"/>
          <w:shd w:val="clear" w:color="auto" w:fill="FFFFFF" w:themeFill="background1"/>
          <w:lang w:val="uk-UA"/>
        </w:rPr>
        <w:t xml:space="preserve">у 2023 році </w:t>
      </w:r>
      <w:r w:rsidR="00473BE7" w:rsidRPr="00020763">
        <w:rPr>
          <w:sz w:val="28"/>
          <w:szCs w:val="28"/>
          <w:lang w:val="uk-UA" w:eastAsia="uk-UA"/>
        </w:rPr>
        <w:t>до 31 березня 2024 року</w:t>
      </w:r>
      <w:r w:rsidR="00473BE7" w:rsidRPr="00020763">
        <w:rPr>
          <w:sz w:val="28"/>
          <w:szCs w:val="28"/>
          <w:lang w:val="uk-UA"/>
        </w:rPr>
        <w:t>.</w:t>
      </w:r>
    </w:p>
    <w:p w:rsidR="00F41519" w:rsidRPr="00F41519" w:rsidRDefault="00F41519" w:rsidP="00473BE7">
      <w:pPr>
        <w:pStyle w:val="ParagraphNumbering"/>
        <w:tabs>
          <w:tab w:val="left" w:pos="567"/>
          <w:tab w:val="left" w:pos="993"/>
        </w:tabs>
        <w:spacing w:after="0"/>
        <w:ind w:right="-57" w:firstLine="567"/>
        <w:jc w:val="both"/>
        <w:rPr>
          <w:sz w:val="28"/>
          <w:szCs w:val="28"/>
          <w:lang w:val="uk-UA"/>
        </w:rPr>
      </w:pPr>
    </w:p>
    <w:p w:rsidR="003D1D60" w:rsidRPr="00F41519" w:rsidRDefault="003D1D60" w:rsidP="00473BE7">
      <w:pPr>
        <w:pStyle w:val="ParagraphNumbering"/>
        <w:tabs>
          <w:tab w:val="left" w:pos="567"/>
          <w:tab w:val="left" w:pos="993"/>
        </w:tabs>
        <w:spacing w:after="0"/>
        <w:ind w:right="-57" w:firstLine="567"/>
        <w:jc w:val="both"/>
        <w:rPr>
          <w:rFonts w:eastAsia="Calibri"/>
          <w:sz w:val="28"/>
          <w:szCs w:val="28"/>
          <w:lang w:val="uk-UA" w:eastAsia="ru-RU"/>
        </w:rPr>
        <w:sectPr w:rsidR="003D1D60" w:rsidRPr="00F41519" w:rsidSect="00020763">
          <w:headerReference w:type="default" r:id="rId20"/>
          <w:pgSz w:w="11906" w:h="16838" w:code="9"/>
          <w:pgMar w:top="567" w:right="567" w:bottom="1701" w:left="1701" w:header="567" w:footer="709" w:gutter="0"/>
          <w:pgNumType w:start="1"/>
          <w:cols w:space="708"/>
          <w:titlePg/>
          <w:docGrid w:linePitch="381"/>
        </w:sectPr>
      </w:pPr>
    </w:p>
    <w:tbl>
      <w:tblPr>
        <w:tblW w:w="9639" w:type="dxa"/>
        <w:tblLook w:val="01E0" w:firstRow="1" w:lastRow="1" w:firstColumn="1" w:lastColumn="1" w:noHBand="0" w:noVBand="0"/>
      </w:tblPr>
      <w:tblGrid>
        <w:gridCol w:w="5211"/>
        <w:gridCol w:w="4428"/>
      </w:tblGrid>
      <w:tr w:rsidR="00F41519" w:rsidRPr="00F41519" w:rsidTr="00773C9F">
        <w:trPr>
          <w:trHeight w:val="2337"/>
        </w:trPr>
        <w:tc>
          <w:tcPr>
            <w:tcW w:w="5211" w:type="dxa"/>
          </w:tcPr>
          <w:p w:rsidR="00E81497" w:rsidRPr="00F41519" w:rsidRDefault="00E81497" w:rsidP="00773C9F">
            <w:pPr>
              <w:spacing w:afterLines="120" w:after="288"/>
              <w:jc w:val="center"/>
              <w:rPr>
                <w:rFonts w:ascii="Calibri" w:hAnsi="Calibri"/>
                <w:sz w:val="20"/>
                <w:szCs w:val="20"/>
              </w:rPr>
            </w:pPr>
          </w:p>
        </w:tc>
        <w:tc>
          <w:tcPr>
            <w:tcW w:w="4428" w:type="dxa"/>
            <w:hideMark/>
          </w:tcPr>
          <w:p w:rsidR="00E81497" w:rsidRPr="00F41519" w:rsidRDefault="00E81497" w:rsidP="00773C9F">
            <w:pPr>
              <w:spacing w:afterLines="120" w:after="288"/>
              <w:ind w:left="490"/>
              <w:contextualSpacing/>
            </w:pPr>
          </w:p>
          <w:p w:rsidR="00E81497" w:rsidRPr="00F41519" w:rsidRDefault="00E81497" w:rsidP="00773C9F">
            <w:pPr>
              <w:spacing w:afterLines="120" w:after="288"/>
              <w:ind w:left="490"/>
              <w:contextualSpacing/>
            </w:pPr>
            <w:r w:rsidRPr="00F41519">
              <w:t xml:space="preserve">Додаток </w:t>
            </w:r>
          </w:p>
          <w:p w:rsidR="00E81497" w:rsidRPr="00F41519" w:rsidRDefault="00E81497" w:rsidP="00773C9F">
            <w:pPr>
              <w:spacing w:afterLines="120" w:after="288"/>
              <w:ind w:left="490"/>
              <w:contextualSpacing/>
            </w:pPr>
            <w:r w:rsidRPr="00F41519">
              <w:t xml:space="preserve">до Правил здійснення оцінки стійкості банків і банківської системи України </w:t>
            </w:r>
            <w:r w:rsidR="00E6073A" w:rsidRPr="00F41519">
              <w:t>в</w:t>
            </w:r>
            <w:r w:rsidRPr="00F41519">
              <w:t xml:space="preserve"> 2023 році</w:t>
            </w:r>
          </w:p>
          <w:p w:rsidR="00E81497" w:rsidRPr="00F41519" w:rsidRDefault="00E81497" w:rsidP="001647B0">
            <w:pPr>
              <w:spacing w:afterLines="120" w:after="288"/>
              <w:ind w:left="490"/>
              <w:contextualSpacing/>
              <w:rPr>
                <w:sz w:val="20"/>
                <w:szCs w:val="20"/>
              </w:rPr>
            </w:pPr>
            <w:r w:rsidRPr="00F41519">
              <w:t xml:space="preserve">(пункт </w:t>
            </w:r>
            <w:r w:rsidR="001647B0" w:rsidRPr="00F41519">
              <w:t xml:space="preserve">31 </w:t>
            </w:r>
            <w:r w:rsidRPr="00F41519">
              <w:t>розділу I</w:t>
            </w:r>
            <w:r w:rsidR="001647B0" w:rsidRPr="00F41519">
              <w:rPr>
                <w:shd w:val="clear" w:color="auto" w:fill="FFFFFF"/>
                <w:lang w:val="en-US"/>
              </w:rPr>
              <w:t>V</w:t>
            </w:r>
            <w:r w:rsidRPr="00F41519">
              <w:t>)</w:t>
            </w:r>
            <w:r w:rsidRPr="00F41519">
              <w:rPr>
                <w:sz w:val="20"/>
                <w:szCs w:val="20"/>
              </w:rPr>
              <w:t xml:space="preserve"> </w:t>
            </w:r>
          </w:p>
        </w:tc>
      </w:tr>
    </w:tbl>
    <w:p w:rsidR="00E81497" w:rsidRPr="00F41519" w:rsidRDefault="00E81497" w:rsidP="00E81497">
      <w:pPr>
        <w:tabs>
          <w:tab w:val="left" w:pos="720"/>
          <w:tab w:val="left" w:pos="900"/>
          <w:tab w:val="left" w:pos="1080"/>
          <w:tab w:val="left" w:pos="1260"/>
        </w:tabs>
        <w:jc w:val="center"/>
      </w:pPr>
      <w:bookmarkStart w:id="7" w:name="_Hlk117274925"/>
      <w:r w:rsidRPr="00F41519">
        <w:t>Вимоги до складання банком програми капіталізації/реструктуризації</w:t>
      </w:r>
      <w:bookmarkEnd w:id="7"/>
    </w:p>
    <w:p w:rsidR="00E81497" w:rsidRPr="00F41519" w:rsidRDefault="00E81497" w:rsidP="00E81497">
      <w:pPr>
        <w:jc w:val="right"/>
      </w:pPr>
    </w:p>
    <w:p w:rsidR="00E81497" w:rsidRPr="00F41519" w:rsidRDefault="00E81497" w:rsidP="00E81497">
      <w:pPr>
        <w:spacing w:afterLines="120" w:after="288" w:line="256" w:lineRule="auto"/>
        <w:jc w:val="center"/>
      </w:pPr>
      <w:r w:rsidRPr="00F41519">
        <w:t>І. Загальні положення</w:t>
      </w:r>
    </w:p>
    <w:p w:rsidR="00E81497" w:rsidRPr="009B5713" w:rsidRDefault="00E81497" w:rsidP="009B5713">
      <w:pPr>
        <w:shd w:val="clear" w:color="auto" w:fill="FFFFFF" w:themeFill="background1"/>
        <w:ind w:firstLine="567"/>
        <w:contextualSpacing/>
      </w:pPr>
      <w:r w:rsidRPr="009B5713">
        <w:t>1. Банк, що отримав вимогу Національного банку</w:t>
      </w:r>
      <w:r w:rsidR="00D03335" w:rsidRPr="009B5713">
        <w:t>, зазначе</w:t>
      </w:r>
      <w:r w:rsidR="005751B0" w:rsidRPr="009B5713">
        <w:t xml:space="preserve">ну в пункті </w:t>
      </w:r>
      <w:r w:rsidR="001647B0" w:rsidRPr="009B5713">
        <w:t xml:space="preserve">29 </w:t>
      </w:r>
      <w:r w:rsidRPr="009B5713">
        <w:t>розділу І</w:t>
      </w:r>
      <w:r w:rsidR="001647B0" w:rsidRPr="009B5713">
        <w:rPr>
          <w:shd w:val="clear" w:color="auto" w:fill="FFFFFF"/>
          <w:lang w:val="en-US"/>
        </w:rPr>
        <w:t>V</w:t>
      </w:r>
      <w:r w:rsidRPr="009B5713">
        <w:t xml:space="preserve"> Правил здійснення оцінки стійкості банків і банківської системи України </w:t>
      </w:r>
      <w:r w:rsidR="000A5787" w:rsidRPr="009B5713">
        <w:t>в</w:t>
      </w:r>
      <w:r w:rsidRPr="009B5713">
        <w:t xml:space="preserve"> 2023 році (далі – Правила), складає програму капіталізації/реструктуризації, яка забезпечує </w:t>
      </w:r>
      <w:r w:rsidR="00D03335" w:rsidRPr="009B5713">
        <w:t>дотримання банком у вс</w:t>
      </w:r>
      <w:r w:rsidR="00D57E76" w:rsidRPr="009B5713">
        <w:t xml:space="preserve">тановлені </w:t>
      </w:r>
      <w:r w:rsidR="008214CF" w:rsidRPr="009B5713">
        <w:t xml:space="preserve">в </w:t>
      </w:r>
      <w:r w:rsidR="00D57E76" w:rsidRPr="009B5713">
        <w:t>пункт</w:t>
      </w:r>
      <w:r w:rsidR="008214CF" w:rsidRPr="009B5713">
        <w:t>і</w:t>
      </w:r>
      <w:r w:rsidR="00D57E76" w:rsidRPr="009B5713">
        <w:t xml:space="preserve"> 3</w:t>
      </w:r>
      <w:r w:rsidR="001647B0" w:rsidRPr="009B5713">
        <w:t>5</w:t>
      </w:r>
      <w:r w:rsidRPr="009B5713">
        <w:t xml:space="preserve"> розділу І</w:t>
      </w:r>
      <w:r w:rsidR="001647B0" w:rsidRPr="009B5713">
        <w:rPr>
          <w:shd w:val="clear" w:color="auto" w:fill="FFFFFF"/>
          <w:lang w:val="en-US"/>
        </w:rPr>
        <w:t>V</w:t>
      </w:r>
      <w:r w:rsidRPr="009B5713">
        <w:t xml:space="preserve"> Правил строки </w:t>
      </w:r>
      <w:r w:rsidR="00BC259C" w:rsidRPr="009B5713">
        <w:t xml:space="preserve">значень </w:t>
      </w:r>
      <w:r w:rsidR="00051E34">
        <w:t xml:space="preserve">розміру </w:t>
      </w:r>
      <w:r w:rsidR="00F867F7" w:rsidRPr="009B5713">
        <w:t>регулятивного</w:t>
      </w:r>
      <w:r w:rsidR="00395DBC">
        <w:t>/</w:t>
      </w:r>
      <w:r w:rsidR="00F867F7" w:rsidRPr="009B5713">
        <w:t xml:space="preserve">основного </w:t>
      </w:r>
      <w:r w:rsidR="00624426" w:rsidRPr="009B5713">
        <w:t xml:space="preserve">капіталу, </w:t>
      </w:r>
      <w:r w:rsidRPr="009B5713">
        <w:t>необхідн</w:t>
      </w:r>
      <w:r w:rsidR="00FE2D8C" w:rsidRPr="009B5713">
        <w:t>их</w:t>
      </w:r>
      <w:r w:rsidRPr="009B5713">
        <w:t xml:space="preserve"> рівн</w:t>
      </w:r>
      <w:r w:rsidR="00FE2D8C" w:rsidRPr="009B5713">
        <w:t>ів</w:t>
      </w:r>
      <w:r w:rsidRPr="009B5713">
        <w:t xml:space="preserve"> норматив</w:t>
      </w:r>
      <w:r w:rsidR="00A61EDA" w:rsidRPr="009B5713">
        <w:t>ів</w:t>
      </w:r>
      <w:r w:rsidRPr="009B5713">
        <w:t xml:space="preserve"> Н2 та</w:t>
      </w:r>
      <w:r w:rsidR="00A61EDA" w:rsidRPr="009B5713">
        <w:t xml:space="preserve"> </w:t>
      </w:r>
      <w:r w:rsidR="00A058D3" w:rsidRPr="009B5713">
        <w:t>Н3 (далі – необхідні рівні</w:t>
      </w:r>
      <w:r w:rsidRPr="009B5713">
        <w:t xml:space="preserve"> нормативів достатності капіталу), визначених за результатами оцінки стійкості банку.</w:t>
      </w:r>
    </w:p>
    <w:p w:rsidR="00E81497" w:rsidRPr="009B5713" w:rsidRDefault="00E81497" w:rsidP="009B5713">
      <w:pPr>
        <w:ind w:firstLine="567"/>
      </w:pPr>
    </w:p>
    <w:p w:rsidR="00E81497" w:rsidRPr="009B5713" w:rsidRDefault="00E81497" w:rsidP="009B5713">
      <w:pPr>
        <w:shd w:val="clear" w:color="auto" w:fill="FFFFFF" w:themeFill="background1"/>
        <w:ind w:firstLine="567"/>
      </w:pPr>
      <w:r w:rsidRPr="009B5713">
        <w:t>2. Банк забезпечує складання програми капіталізації</w:t>
      </w:r>
      <w:r w:rsidRPr="009B5713">
        <w:rPr>
          <w:b/>
        </w:rPr>
        <w:t>/</w:t>
      </w:r>
      <w:r w:rsidRPr="009B5713">
        <w:t>реструктуризації з дотриманням таких принципів:</w:t>
      </w:r>
    </w:p>
    <w:p w:rsidR="00E81497" w:rsidRPr="009B5713" w:rsidRDefault="00E81497" w:rsidP="009B5713">
      <w:pPr>
        <w:shd w:val="clear" w:color="auto" w:fill="FFFFFF" w:themeFill="background1"/>
        <w:ind w:firstLine="567"/>
      </w:pPr>
    </w:p>
    <w:p w:rsidR="00E81497" w:rsidRPr="009B5713" w:rsidRDefault="00E81497" w:rsidP="009B5713">
      <w:pPr>
        <w:pStyle w:val="af3"/>
        <w:numPr>
          <w:ilvl w:val="0"/>
          <w:numId w:val="17"/>
        </w:numPr>
        <w:shd w:val="clear" w:color="auto" w:fill="FFFFFF" w:themeFill="background1"/>
        <w:ind w:left="0" w:firstLine="567"/>
      </w:pPr>
      <w:r w:rsidRPr="009B5713">
        <w:t>переваги сутності визначених банком заходів над їх формою,  економічної доцільності та ефективності таких заходів;</w:t>
      </w:r>
    </w:p>
    <w:p w:rsidR="00E81497" w:rsidRPr="009B5713" w:rsidRDefault="00E81497" w:rsidP="009B5713">
      <w:pPr>
        <w:pStyle w:val="af3"/>
        <w:shd w:val="clear" w:color="auto" w:fill="FFFFFF" w:themeFill="background1"/>
        <w:ind w:left="0" w:firstLine="567"/>
      </w:pPr>
    </w:p>
    <w:p w:rsidR="00E81497" w:rsidRPr="009B5713" w:rsidRDefault="00E81497" w:rsidP="009B5713">
      <w:pPr>
        <w:pStyle w:val="af3"/>
        <w:numPr>
          <w:ilvl w:val="0"/>
          <w:numId w:val="17"/>
        </w:numPr>
        <w:shd w:val="clear" w:color="auto" w:fill="FFFFFF" w:themeFill="background1"/>
        <w:ind w:left="0" w:firstLine="567"/>
      </w:pPr>
      <w:r w:rsidRPr="009B5713">
        <w:t>обґрунтованості визначених банком заходів та реалістичності їх виконання, що передбачає формування судження банку щодо:</w:t>
      </w:r>
    </w:p>
    <w:p w:rsidR="00E81497" w:rsidRPr="009B5713" w:rsidRDefault="00E81497" w:rsidP="009B5713">
      <w:pPr>
        <w:pStyle w:val="af3"/>
        <w:shd w:val="clear" w:color="auto" w:fill="FFFFFF" w:themeFill="background1"/>
        <w:ind w:left="0" w:firstLine="567"/>
      </w:pPr>
      <w:r w:rsidRPr="009B5713">
        <w:t>реалістичності виконання заходів у встановлені строки та отримання економічного ефекту від їх реалізації в обсязі, визначеному програмою капіталізації/реструктуризації, з урахуванням поточного стану економіки та ринкових умов;</w:t>
      </w:r>
    </w:p>
    <w:p w:rsidR="00E81497" w:rsidRPr="009B5713" w:rsidRDefault="00E81497" w:rsidP="009B5713">
      <w:pPr>
        <w:pStyle w:val="af3"/>
        <w:shd w:val="clear" w:color="auto" w:fill="FFFFFF" w:themeFill="background1"/>
        <w:ind w:left="0" w:firstLine="567"/>
      </w:pPr>
      <w:r w:rsidRPr="009B5713">
        <w:t xml:space="preserve">спроможності банку та кожного власника істотної участі забезпечити підтримку </w:t>
      </w:r>
      <w:r w:rsidR="007D74A2" w:rsidRPr="009B5713">
        <w:t>розміру регулятивного</w:t>
      </w:r>
      <w:r w:rsidR="00F867F7" w:rsidRPr="009B5713">
        <w:t>/основного</w:t>
      </w:r>
      <w:r w:rsidR="007D74A2" w:rsidRPr="009B5713">
        <w:t xml:space="preserve"> капіталу, необхідного </w:t>
      </w:r>
      <w:r w:rsidR="00F76D4A" w:rsidRPr="009B5713">
        <w:t xml:space="preserve">для </w:t>
      </w:r>
      <w:r w:rsidR="007D74A2" w:rsidRPr="009B5713">
        <w:t>дотримання</w:t>
      </w:r>
      <w:r w:rsidR="00F76D4A" w:rsidRPr="009B5713">
        <w:t xml:space="preserve"> </w:t>
      </w:r>
      <w:r w:rsidRPr="009B5713">
        <w:t xml:space="preserve">нормативів </w:t>
      </w:r>
      <w:r w:rsidRPr="009B5713">
        <w:rPr>
          <w:shd w:val="clear" w:color="auto" w:fill="FFFFFF"/>
        </w:rPr>
        <w:t>Н2</w:t>
      </w:r>
      <w:r w:rsidRPr="009B5713">
        <w:t xml:space="preserve"> та </w:t>
      </w:r>
      <w:r w:rsidRPr="009B5713">
        <w:rPr>
          <w:shd w:val="clear" w:color="auto" w:fill="FFFFFF"/>
        </w:rPr>
        <w:t>Н3</w:t>
      </w:r>
      <w:r w:rsidRPr="009B5713">
        <w:t xml:space="preserve"> </w:t>
      </w:r>
      <w:r w:rsidR="00C26FDC" w:rsidRPr="009B5713">
        <w:t>на рівні</w:t>
      </w:r>
      <w:r w:rsidRPr="009B5713">
        <w:t>, передба</w:t>
      </w:r>
      <w:r w:rsidR="00F76D4A" w:rsidRPr="009B5713">
        <w:t>ченому програмою капіталізації/</w:t>
      </w:r>
      <w:r w:rsidRPr="009B5713">
        <w:t xml:space="preserve">реструктуризації, з урахуванням оцінки </w:t>
      </w:r>
      <w:proofErr w:type="spellStart"/>
      <w:r w:rsidRPr="009B5713">
        <w:t>макро</w:t>
      </w:r>
      <w:proofErr w:type="spellEnd"/>
      <w:r w:rsidRPr="009B5713">
        <w:t>- та мікроекономічних факторів, що впливають та фінансову спроможність банку та акціонерів забезпечувати таку підтримку;</w:t>
      </w:r>
    </w:p>
    <w:p w:rsidR="00E81497" w:rsidRPr="009B5713" w:rsidRDefault="00E81497" w:rsidP="009B5713">
      <w:pPr>
        <w:pStyle w:val="af3"/>
        <w:shd w:val="clear" w:color="auto" w:fill="FFFFFF" w:themeFill="background1"/>
        <w:ind w:left="0" w:firstLine="567"/>
      </w:pPr>
    </w:p>
    <w:p w:rsidR="00E81497" w:rsidRPr="009B5713" w:rsidRDefault="00E81497" w:rsidP="009B5713">
      <w:pPr>
        <w:shd w:val="clear" w:color="auto" w:fill="FFFFFF" w:themeFill="background1"/>
        <w:ind w:firstLine="567"/>
      </w:pPr>
      <w:r w:rsidRPr="009B5713">
        <w:t xml:space="preserve">3) достатності та адекватності розроблених банком заходів, реалізація яких має забезпечити </w:t>
      </w:r>
      <w:r w:rsidR="00F76D4A" w:rsidRPr="009B5713">
        <w:t>досягнення необхідного розміру регулятивного</w:t>
      </w:r>
      <w:r w:rsidR="00F867F7" w:rsidRPr="009B5713">
        <w:t>/основного</w:t>
      </w:r>
      <w:r w:rsidR="00F76D4A" w:rsidRPr="009B5713">
        <w:t xml:space="preserve"> капіталу, </w:t>
      </w:r>
      <w:r w:rsidRPr="009B5713">
        <w:t>дотримання банком нормативів Н2 та Н3 на рівні, зазначеному в пункті 1 розділу І цього додатка.</w:t>
      </w:r>
    </w:p>
    <w:p w:rsidR="00E81497" w:rsidRPr="009B5713" w:rsidRDefault="00E81497" w:rsidP="009B5713">
      <w:pPr>
        <w:pStyle w:val="af3"/>
        <w:shd w:val="clear" w:color="auto" w:fill="FFFFFF" w:themeFill="background1"/>
        <w:ind w:left="0" w:firstLine="567"/>
      </w:pPr>
    </w:p>
    <w:p w:rsidR="00E81497" w:rsidRPr="009B5713" w:rsidRDefault="00E81497" w:rsidP="009B5713">
      <w:pPr>
        <w:pStyle w:val="af3"/>
        <w:shd w:val="clear" w:color="auto" w:fill="FFFFFF" w:themeFill="background1"/>
        <w:ind w:left="0" w:firstLine="567"/>
      </w:pPr>
      <w:r w:rsidRPr="009B5713">
        <w:lastRenderedPageBreak/>
        <w:t>3. Для цілей Правил судження банку – це задокументоване обґрунтоване рішення управлінського персоналу/колегіального органу, яке ґрунтується на:</w:t>
      </w:r>
    </w:p>
    <w:p w:rsidR="00624426" w:rsidRPr="009B5713" w:rsidRDefault="00624426" w:rsidP="009B5713">
      <w:pPr>
        <w:pStyle w:val="af3"/>
        <w:shd w:val="clear" w:color="auto" w:fill="FFFFFF" w:themeFill="background1"/>
        <w:ind w:left="0" w:firstLine="567"/>
      </w:pPr>
    </w:p>
    <w:p w:rsidR="00E81497" w:rsidRPr="009B5713" w:rsidRDefault="00E81497" w:rsidP="009B5713">
      <w:pPr>
        <w:pStyle w:val="af3"/>
        <w:numPr>
          <w:ilvl w:val="0"/>
          <w:numId w:val="11"/>
        </w:numPr>
        <w:shd w:val="clear" w:color="auto" w:fill="FFFFFF" w:themeFill="background1"/>
        <w:ind w:left="0" w:firstLine="567"/>
      </w:pPr>
      <w:r w:rsidRPr="009B5713">
        <w:t xml:space="preserve"> комплексному та об’єктивному аналізі всієї інформації, що впливає на обґрунтованість, реалістичність та ефективність заходів, передбачених програмою капіталізації/реструктуризації банку;</w:t>
      </w:r>
    </w:p>
    <w:p w:rsidR="00E81497" w:rsidRPr="009B5713" w:rsidRDefault="00E81497" w:rsidP="009B5713">
      <w:pPr>
        <w:pStyle w:val="af3"/>
        <w:shd w:val="clear" w:color="auto" w:fill="FFFFFF" w:themeFill="background1"/>
        <w:ind w:left="0" w:firstLine="567"/>
      </w:pPr>
    </w:p>
    <w:p w:rsidR="00E81497" w:rsidRPr="009B5713" w:rsidRDefault="00E81497" w:rsidP="009B5713">
      <w:pPr>
        <w:pStyle w:val="af3"/>
        <w:numPr>
          <w:ilvl w:val="0"/>
          <w:numId w:val="11"/>
        </w:numPr>
        <w:shd w:val="clear" w:color="auto" w:fill="FFFFFF" w:themeFill="background1"/>
        <w:ind w:left="0" w:firstLine="567"/>
      </w:pPr>
      <w:r w:rsidRPr="009B5713">
        <w:t xml:space="preserve"> власному досвіді банку, що ґрунтується на надійних, безперервних, повних та цілісних статистичних даних, термін накопичення яких становить щонайменше три останніх роки поспіль, що передують даті складання програми капіталізації</w:t>
      </w:r>
      <w:r w:rsidRPr="009B5713">
        <w:rPr>
          <w:noProof/>
        </w:rPr>
        <w:t>/реструктуризації</w:t>
      </w:r>
      <w:r w:rsidRPr="009B5713">
        <w:t>;</w:t>
      </w:r>
    </w:p>
    <w:p w:rsidR="00E81497" w:rsidRPr="009B5713" w:rsidRDefault="00E81497" w:rsidP="009B5713">
      <w:pPr>
        <w:shd w:val="clear" w:color="auto" w:fill="FFFFFF" w:themeFill="background1"/>
        <w:ind w:firstLine="567"/>
      </w:pPr>
    </w:p>
    <w:p w:rsidR="00E81497" w:rsidRPr="009B5713" w:rsidRDefault="00E81497" w:rsidP="009B5713">
      <w:pPr>
        <w:pStyle w:val="af3"/>
        <w:numPr>
          <w:ilvl w:val="0"/>
          <w:numId w:val="11"/>
        </w:numPr>
        <w:shd w:val="clear" w:color="auto" w:fill="FFFFFF" w:themeFill="background1"/>
        <w:ind w:left="0" w:firstLine="567"/>
      </w:pPr>
      <w:r w:rsidRPr="009B5713">
        <w:t xml:space="preserve"> забезпеченні повної, своєчасної та об’єктивної оцінки та врахування всіх суттєвих факторів, що можуть мати вплив (особливо негативний) на дотримання банком необхідн</w:t>
      </w:r>
      <w:r w:rsidR="00312E17" w:rsidRPr="009B5713">
        <w:t>их</w:t>
      </w:r>
      <w:r w:rsidRPr="009B5713">
        <w:t xml:space="preserve"> рівн</w:t>
      </w:r>
      <w:r w:rsidR="00312E17" w:rsidRPr="009B5713">
        <w:t>ів</w:t>
      </w:r>
      <w:r w:rsidRPr="009B5713">
        <w:t xml:space="preserve"> нормативів достатності капіталу, визначен</w:t>
      </w:r>
      <w:r w:rsidR="00312E17" w:rsidRPr="009B5713">
        <w:t>их</w:t>
      </w:r>
      <w:r w:rsidRPr="009B5713">
        <w:t xml:space="preserve"> за результатами оцінки стійкості банку</w:t>
      </w:r>
      <w:r w:rsidRPr="009B5713">
        <w:rPr>
          <w:lang w:eastAsia="ru-RU"/>
        </w:rPr>
        <w:t>.</w:t>
      </w:r>
    </w:p>
    <w:p w:rsidR="00E81497" w:rsidRPr="009B5713" w:rsidRDefault="00E81497" w:rsidP="009B5713">
      <w:pPr>
        <w:pStyle w:val="af3"/>
        <w:shd w:val="clear" w:color="auto" w:fill="FFFFFF" w:themeFill="background1"/>
        <w:ind w:left="0" w:firstLine="567"/>
        <w:rPr>
          <w:i/>
        </w:rPr>
      </w:pPr>
    </w:p>
    <w:p w:rsidR="00E81497" w:rsidRPr="009B5713" w:rsidRDefault="00E81497" w:rsidP="009B5713">
      <w:pPr>
        <w:shd w:val="clear" w:color="auto" w:fill="FFFFFF" w:themeFill="background1"/>
        <w:ind w:firstLine="567"/>
      </w:pPr>
      <w:r w:rsidRPr="009B5713">
        <w:t>4. Банк під час складання програми капіталізації</w:t>
      </w:r>
      <w:r w:rsidRPr="009B5713">
        <w:rPr>
          <w:noProof/>
        </w:rPr>
        <w:t>/реструктуризації</w:t>
      </w:r>
      <w:r w:rsidRPr="009B5713">
        <w:t xml:space="preserve"> має право враховувати </w:t>
      </w:r>
      <w:r w:rsidR="00E618BD" w:rsidRPr="009B5713">
        <w:t>в</w:t>
      </w:r>
      <w:r w:rsidRPr="009B5713">
        <w:t>проваджені банком заходи та/або фактичні події, що відбулися після звітної дати до дати подання банком програми капіталізації</w:t>
      </w:r>
      <w:r w:rsidRPr="009B5713">
        <w:rPr>
          <w:noProof/>
        </w:rPr>
        <w:t>/ реструктуризації</w:t>
      </w:r>
      <w:r w:rsidRPr="009B5713">
        <w:t>, зокрема:</w:t>
      </w:r>
    </w:p>
    <w:p w:rsidR="00E81497" w:rsidRPr="009B5713" w:rsidRDefault="00E81497" w:rsidP="009B5713">
      <w:pPr>
        <w:shd w:val="clear" w:color="auto" w:fill="FFFFFF" w:themeFill="background1"/>
        <w:ind w:firstLine="567"/>
      </w:pPr>
    </w:p>
    <w:p w:rsidR="00E81497" w:rsidRPr="009B5713" w:rsidRDefault="00E81497" w:rsidP="009B5713">
      <w:pPr>
        <w:pStyle w:val="af3"/>
        <w:numPr>
          <w:ilvl w:val="0"/>
          <w:numId w:val="12"/>
        </w:numPr>
        <w:shd w:val="clear" w:color="auto" w:fill="FFFFFF" w:themeFill="background1"/>
        <w:ind w:left="0" w:firstLine="567"/>
      </w:pPr>
      <w:r w:rsidRPr="009B5713">
        <w:t xml:space="preserve"> здійснення реструктуризації кредитів, за якими вимагалося збільшення розміру кредитного ризику за результатами оцінки якості активів банку та прийнятності забезпечення за кредитними операціями, шляхом оформлення додаткового забезпечення за цими кредитами.</w:t>
      </w:r>
    </w:p>
    <w:p w:rsidR="00E81497" w:rsidRPr="009B5713" w:rsidRDefault="00E81497" w:rsidP="009B5713">
      <w:pPr>
        <w:pStyle w:val="af3"/>
        <w:shd w:val="clear" w:color="auto" w:fill="FFFFFF" w:themeFill="background1"/>
        <w:ind w:left="0" w:firstLine="567"/>
      </w:pPr>
      <w:r w:rsidRPr="009B5713">
        <w:t>Умови реструктуризації кредитів не передбачають погашення заборгованості за діючими кредитами за рахунок видачі нових кредитів, надання кредитів без належного забезпечення, надання кредитів клієнтам із непрозорою структурою власності, клієнтам, фінансовий стан яких не підтверджує спроможності обслуговувати кредити за ринковими умовами та/або цільове використання кредитів викликає сумніви щодо їх повернення;</w:t>
      </w:r>
    </w:p>
    <w:p w:rsidR="00E81497" w:rsidRPr="009B5713" w:rsidRDefault="00E81497" w:rsidP="009B5713">
      <w:pPr>
        <w:pStyle w:val="af3"/>
        <w:shd w:val="clear" w:color="auto" w:fill="FFFFFF" w:themeFill="background1"/>
        <w:ind w:left="0" w:firstLine="567"/>
      </w:pPr>
    </w:p>
    <w:p w:rsidR="00E81497" w:rsidRPr="009B5713" w:rsidRDefault="00E81497" w:rsidP="009B5713">
      <w:pPr>
        <w:pStyle w:val="af3"/>
        <w:shd w:val="clear" w:color="auto" w:fill="FFFFFF" w:themeFill="background1"/>
        <w:ind w:left="0" w:firstLine="567"/>
        <w:contextualSpacing w:val="0"/>
      </w:pPr>
      <w:r w:rsidRPr="009B5713">
        <w:t xml:space="preserve">2) поліпшення фінансового результату за рахунок зменшення процентних витрат у </w:t>
      </w:r>
      <w:r w:rsidR="00FC2FC2" w:rsidRPr="009B5713">
        <w:t>разі спрямування залучених коштів</w:t>
      </w:r>
      <w:r w:rsidR="00986A5C" w:rsidRPr="009B5713">
        <w:t xml:space="preserve"> на умовах</w:t>
      </w:r>
      <w:r w:rsidR="00FC2FC2" w:rsidRPr="009B5713">
        <w:t xml:space="preserve"> </w:t>
      </w:r>
      <w:proofErr w:type="spellStart"/>
      <w:r w:rsidRPr="009B5713">
        <w:t>субординованого</w:t>
      </w:r>
      <w:proofErr w:type="spellEnd"/>
      <w:r w:rsidRPr="009B5713">
        <w:t xml:space="preserve"> боргу</w:t>
      </w:r>
      <w:r w:rsidR="00C02274" w:rsidRPr="009B5713">
        <w:t>/</w:t>
      </w:r>
      <w:r w:rsidR="00986A5C" w:rsidRPr="009B5713">
        <w:t xml:space="preserve"> </w:t>
      </w:r>
      <w:r w:rsidR="00C02274" w:rsidRPr="009B5713">
        <w:t>капітального інструменту з умовами списання/конверсії</w:t>
      </w:r>
      <w:r w:rsidRPr="009B5713">
        <w:t xml:space="preserve"> та/або інших процентних зобов’язань </w:t>
      </w:r>
      <w:r w:rsidR="00FC2FC2" w:rsidRPr="009B5713">
        <w:t>на оплату простих акцій додаткової емісії</w:t>
      </w:r>
      <w:r w:rsidRPr="009B5713">
        <w:t>;</w:t>
      </w:r>
    </w:p>
    <w:p w:rsidR="00986A5C" w:rsidRPr="009B5713" w:rsidRDefault="00986A5C" w:rsidP="009B5713">
      <w:pPr>
        <w:pStyle w:val="af3"/>
        <w:shd w:val="clear" w:color="auto" w:fill="FFFFFF" w:themeFill="background1"/>
        <w:ind w:left="0" w:firstLine="567"/>
        <w:contextualSpacing w:val="0"/>
      </w:pPr>
    </w:p>
    <w:p w:rsidR="00E81497" w:rsidRPr="009B5713" w:rsidRDefault="0063138A" w:rsidP="009B5713">
      <w:pPr>
        <w:pStyle w:val="af3"/>
        <w:shd w:val="clear" w:color="auto" w:fill="FFFFFF" w:themeFill="background1"/>
        <w:ind w:left="0" w:firstLine="567"/>
        <w:contextualSpacing w:val="0"/>
      </w:pPr>
      <w:r w:rsidRPr="009B5713">
        <w:t>3</w:t>
      </w:r>
      <w:r w:rsidR="00E81497" w:rsidRPr="009B5713">
        <w:t>) інші заходи, які мали позитивний вплив на розмір регулятивного</w:t>
      </w:r>
      <w:r w:rsidR="001C34D9" w:rsidRPr="009B5713">
        <w:t>/основного</w:t>
      </w:r>
      <w:r w:rsidR="00E81497" w:rsidRPr="009B5713">
        <w:t xml:space="preserve"> капіталу банку.</w:t>
      </w:r>
    </w:p>
    <w:p w:rsidR="0063138A" w:rsidRPr="009B5713" w:rsidRDefault="0063138A" w:rsidP="009B5713">
      <w:pPr>
        <w:pStyle w:val="af3"/>
        <w:shd w:val="clear" w:color="auto" w:fill="FFFFFF" w:themeFill="background1"/>
        <w:ind w:left="0" w:firstLine="567"/>
      </w:pPr>
    </w:p>
    <w:p w:rsidR="00E81497" w:rsidRPr="009B5713" w:rsidRDefault="00E81497" w:rsidP="009B5713">
      <w:pPr>
        <w:pStyle w:val="af3"/>
        <w:shd w:val="clear" w:color="auto" w:fill="FFFFFF" w:themeFill="background1"/>
        <w:ind w:left="0" w:firstLine="567"/>
      </w:pPr>
      <w:r w:rsidRPr="009B5713">
        <w:lastRenderedPageBreak/>
        <w:t>5. Банк під час складання програми капіталізації/реструктуризації має врахувати ефект впливу змін, унесених до нормативно-правових актів Національного банку з питань регулювання діяльності банків, які наберуть чинності в період виконання банком програми капіталізації/реструктуризації.</w:t>
      </w:r>
    </w:p>
    <w:p w:rsidR="00E81497" w:rsidRPr="009B5713" w:rsidRDefault="00E81497" w:rsidP="009B5713">
      <w:pPr>
        <w:pStyle w:val="af3"/>
        <w:shd w:val="clear" w:color="auto" w:fill="FFFFFF" w:themeFill="background1"/>
        <w:ind w:left="0" w:firstLine="567"/>
      </w:pPr>
    </w:p>
    <w:p w:rsidR="00E81497" w:rsidRPr="009B5713" w:rsidRDefault="00E81497" w:rsidP="009B5713">
      <w:pPr>
        <w:shd w:val="clear" w:color="auto" w:fill="FFFFFF" w:themeFill="background1"/>
        <w:ind w:firstLine="567"/>
        <w:rPr>
          <w:i/>
        </w:rPr>
      </w:pPr>
      <w:r w:rsidRPr="009B5713">
        <w:t>6. Банк, акціонери якого мають намір та спроможні забезпечити капіталізацію банку в розмірі, необхі</w:t>
      </w:r>
      <w:r w:rsidR="00A058D3" w:rsidRPr="009B5713">
        <w:t>дному для дотримання необхідних рівнів</w:t>
      </w:r>
      <w:r w:rsidRPr="009B5713">
        <w:t xml:space="preserve"> нормативів Н2 і Н3, у тому числі із залученням нових інвесторів, складає програму капіталізації/реструктуризації з урахуванням вимог розділу ІІ цього додатка. </w:t>
      </w:r>
    </w:p>
    <w:p w:rsidR="00E81497" w:rsidRPr="009B5713" w:rsidRDefault="00E81497" w:rsidP="009B5713">
      <w:pPr>
        <w:pStyle w:val="af3"/>
        <w:shd w:val="clear" w:color="auto" w:fill="FFFFFF" w:themeFill="background1"/>
        <w:ind w:left="0" w:firstLine="567"/>
      </w:pPr>
    </w:p>
    <w:p w:rsidR="00E81497" w:rsidRPr="009B5713" w:rsidRDefault="00E81497" w:rsidP="009B5713">
      <w:pPr>
        <w:shd w:val="clear" w:color="auto" w:fill="FFFFFF" w:themeFill="background1"/>
        <w:ind w:firstLine="567"/>
      </w:pPr>
      <w:r w:rsidRPr="009B5713">
        <w:t>7. Юридичні та фізичні особи, які бажають придбати або збільшити істотну участь у банку, повинні відповідати вимогам, установленим нормативно-правовими актами Національного банку щодо набуття істотної участі в банку.</w:t>
      </w:r>
    </w:p>
    <w:p w:rsidR="00E81497" w:rsidRPr="009B5713" w:rsidRDefault="00E81497" w:rsidP="009B5713">
      <w:pPr>
        <w:shd w:val="clear" w:color="auto" w:fill="FFFFFF" w:themeFill="background1"/>
        <w:ind w:firstLine="567"/>
      </w:pPr>
      <w:bookmarkStart w:id="8" w:name="_Hlk117275109"/>
      <w:r w:rsidRPr="009B5713">
        <w:t xml:space="preserve">Акціонери – власники істотної участі банку/інвестори зобов’язані подати до Національного банку гарантійні листи щодо забезпечення капіталізації банку в розмірі, передбаченому програмою капіталізації/реструктуризації, </w:t>
      </w:r>
      <w:r w:rsidRPr="009B5713">
        <w:rPr>
          <w:rStyle w:val="FontStyle28"/>
          <w:sz w:val="28"/>
          <w:szCs w:val="28"/>
        </w:rPr>
        <w:t>оформлені за таким зразком:</w:t>
      </w:r>
    </w:p>
    <w:bookmarkEnd w:id="8"/>
    <w:p w:rsidR="00E81497" w:rsidRPr="00F41519" w:rsidRDefault="00E81497" w:rsidP="009B5713">
      <w:pPr>
        <w:shd w:val="clear" w:color="auto" w:fill="FFFFFF" w:themeFill="background1"/>
        <w:jc w:val="right"/>
      </w:pPr>
      <w:r w:rsidRPr="00F41519">
        <w:t>“(зразок оформлення)</w:t>
      </w:r>
    </w:p>
    <w:p w:rsidR="00E81497" w:rsidRPr="00F41519" w:rsidRDefault="00E81497" w:rsidP="009B5713">
      <w:pPr>
        <w:shd w:val="clear" w:color="auto" w:fill="FFFFFF" w:themeFill="background1"/>
      </w:pPr>
    </w:p>
    <w:tbl>
      <w:tblPr>
        <w:tblW w:w="0" w:type="dxa"/>
        <w:tblInd w:w="-206" w:type="dxa"/>
        <w:tblLayout w:type="fixed"/>
        <w:tblCellMar>
          <w:left w:w="10" w:type="dxa"/>
          <w:right w:w="10" w:type="dxa"/>
        </w:tblCellMar>
        <w:tblLook w:val="04A0" w:firstRow="1" w:lastRow="0" w:firstColumn="1" w:lastColumn="0" w:noHBand="0" w:noVBand="1"/>
      </w:tblPr>
      <w:tblGrid>
        <w:gridCol w:w="9997"/>
      </w:tblGrid>
      <w:tr w:rsidR="00F41519" w:rsidRPr="00F41519" w:rsidTr="00773C9F">
        <w:trPr>
          <w:trHeight w:val="2755"/>
        </w:trPr>
        <w:tc>
          <w:tcPr>
            <w:tcW w:w="9997" w:type="dxa"/>
            <w:hideMark/>
          </w:tcPr>
          <w:tbl>
            <w:tblPr>
              <w:tblW w:w="0" w:type="auto"/>
              <w:tblLayout w:type="fixed"/>
              <w:tblLook w:val="04A0" w:firstRow="1" w:lastRow="0" w:firstColumn="1" w:lastColumn="0" w:noHBand="0" w:noVBand="1"/>
            </w:tblPr>
            <w:tblGrid>
              <w:gridCol w:w="4765"/>
              <w:gridCol w:w="4766"/>
            </w:tblGrid>
            <w:tr w:rsidR="00F41519" w:rsidRPr="00F41519" w:rsidTr="00773C9F">
              <w:trPr>
                <w:trHeight w:val="1367"/>
              </w:trPr>
              <w:tc>
                <w:tcPr>
                  <w:tcW w:w="4765" w:type="dxa"/>
                </w:tcPr>
                <w:p w:rsidR="00E81497" w:rsidRPr="00F41519" w:rsidRDefault="00E81497" w:rsidP="00FC2FC2">
                  <w:pPr>
                    <w:shd w:val="clear" w:color="auto" w:fill="FFFFFF" w:themeFill="background1"/>
                    <w:tabs>
                      <w:tab w:val="left" w:pos="709"/>
                    </w:tabs>
                    <w:suppressAutoHyphens/>
                    <w:autoSpaceDE w:val="0"/>
                    <w:autoSpaceDN w:val="0"/>
                    <w:adjustRightInd w:val="0"/>
                    <w:spacing w:line="100" w:lineRule="atLeast"/>
                    <w:ind w:right="67"/>
                    <w:jc w:val="right"/>
                    <w:rPr>
                      <w:highlight w:val="lightGray"/>
                    </w:rPr>
                  </w:pPr>
                </w:p>
                <w:p w:rsidR="00E81497" w:rsidRPr="00F41519" w:rsidRDefault="00E81497" w:rsidP="00FC2FC2">
                  <w:pPr>
                    <w:shd w:val="clear" w:color="auto" w:fill="FFFFFF" w:themeFill="background1"/>
                    <w:tabs>
                      <w:tab w:val="left" w:pos="709"/>
                    </w:tabs>
                    <w:suppressAutoHyphens/>
                    <w:autoSpaceDE w:val="0"/>
                    <w:autoSpaceDN w:val="0"/>
                    <w:adjustRightInd w:val="0"/>
                    <w:spacing w:line="100" w:lineRule="atLeast"/>
                    <w:ind w:right="67"/>
                    <w:jc w:val="right"/>
                    <w:rPr>
                      <w:highlight w:val="lightGray"/>
                    </w:rPr>
                  </w:pPr>
                </w:p>
              </w:tc>
              <w:tc>
                <w:tcPr>
                  <w:tcW w:w="4766" w:type="dxa"/>
                </w:tcPr>
                <w:p w:rsidR="00E81497" w:rsidRPr="00F41519" w:rsidRDefault="00E81497" w:rsidP="00FC2FC2">
                  <w:pPr>
                    <w:shd w:val="clear" w:color="auto" w:fill="FFFFFF" w:themeFill="background1"/>
                    <w:tabs>
                      <w:tab w:val="left" w:pos="105"/>
                    </w:tabs>
                    <w:suppressAutoHyphens/>
                    <w:autoSpaceDE w:val="0"/>
                    <w:autoSpaceDN w:val="0"/>
                    <w:adjustRightInd w:val="0"/>
                    <w:spacing w:line="100" w:lineRule="atLeast"/>
                    <w:ind w:right="67" w:firstLine="35"/>
                  </w:pPr>
                  <w:r w:rsidRPr="00F41519">
                    <w:t>Національний банк України,</w:t>
                  </w:r>
                </w:p>
                <w:p w:rsidR="00E81497" w:rsidRPr="00F41519" w:rsidRDefault="00E81497" w:rsidP="009B5713">
                  <w:pPr>
                    <w:shd w:val="clear" w:color="auto" w:fill="FFFFFF" w:themeFill="background1"/>
                    <w:tabs>
                      <w:tab w:val="left" w:pos="105"/>
                    </w:tabs>
                    <w:suppressAutoHyphens/>
                    <w:autoSpaceDE w:val="0"/>
                    <w:autoSpaceDN w:val="0"/>
                    <w:adjustRightInd w:val="0"/>
                    <w:spacing w:line="100" w:lineRule="atLeast"/>
                    <w:ind w:right="67" w:firstLine="35"/>
                    <w:rPr>
                      <w:highlight w:val="lightGray"/>
                    </w:rPr>
                  </w:pPr>
                  <w:r w:rsidRPr="00F41519">
                    <w:t>вул. Інститутська, 9, м. Київ, 01601, Україна</w:t>
                  </w:r>
                </w:p>
              </w:tc>
            </w:tr>
            <w:tr w:rsidR="00F41519" w:rsidRPr="00F41519" w:rsidTr="00773C9F">
              <w:trPr>
                <w:trHeight w:val="1473"/>
              </w:trPr>
              <w:tc>
                <w:tcPr>
                  <w:tcW w:w="4765" w:type="dxa"/>
                </w:tcPr>
                <w:p w:rsidR="00E81497" w:rsidRPr="00F41519" w:rsidRDefault="00E81497" w:rsidP="00FC2FC2">
                  <w:pPr>
                    <w:shd w:val="clear" w:color="auto" w:fill="FFFFFF" w:themeFill="background1"/>
                    <w:tabs>
                      <w:tab w:val="left" w:pos="709"/>
                    </w:tabs>
                    <w:suppressAutoHyphens/>
                    <w:autoSpaceDE w:val="0"/>
                    <w:autoSpaceDN w:val="0"/>
                    <w:adjustRightInd w:val="0"/>
                    <w:spacing w:line="100" w:lineRule="atLeast"/>
                    <w:ind w:right="67"/>
                    <w:jc w:val="right"/>
                  </w:pPr>
                </w:p>
              </w:tc>
              <w:tc>
                <w:tcPr>
                  <w:tcW w:w="4766" w:type="dxa"/>
                  <w:hideMark/>
                </w:tcPr>
                <w:p w:rsidR="00E81497" w:rsidRPr="00F41519" w:rsidRDefault="00E81497" w:rsidP="00FC2FC2">
                  <w:pPr>
                    <w:shd w:val="clear" w:color="auto" w:fill="FFFFFF" w:themeFill="background1"/>
                    <w:tabs>
                      <w:tab w:val="left" w:pos="709"/>
                    </w:tabs>
                    <w:suppressAutoHyphens/>
                    <w:autoSpaceDE w:val="0"/>
                    <w:autoSpaceDN w:val="0"/>
                    <w:adjustRightInd w:val="0"/>
                    <w:spacing w:line="100" w:lineRule="atLeast"/>
                    <w:ind w:right="67" w:firstLine="35"/>
                  </w:pPr>
                  <w:r w:rsidRPr="00F41519">
                    <w:t>___________________________</w:t>
                  </w:r>
                </w:p>
                <w:p w:rsidR="00E81497" w:rsidRPr="00F41519" w:rsidRDefault="00E81497" w:rsidP="00FC2FC2">
                  <w:pPr>
                    <w:shd w:val="clear" w:color="auto" w:fill="FFFFFF" w:themeFill="background1"/>
                    <w:tabs>
                      <w:tab w:val="left" w:pos="709"/>
                    </w:tabs>
                    <w:suppressAutoHyphens/>
                    <w:autoSpaceDE w:val="0"/>
                    <w:autoSpaceDN w:val="0"/>
                    <w:adjustRightInd w:val="0"/>
                    <w:spacing w:line="100" w:lineRule="atLeast"/>
                    <w:ind w:right="67"/>
                    <w:jc w:val="center"/>
                  </w:pPr>
                  <w:r w:rsidRPr="00F41519">
                    <w:t>(найменування банку)</w:t>
                  </w:r>
                </w:p>
                <w:p w:rsidR="00E81497" w:rsidRPr="00F41519" w:rsidRDefault="00E81497" w:rsidP="00FC2FC2">
                  <w:pPr>
                    <w:shd w:val="clear" w:color="auto" w:fill="FFFFFF" w:themeFill="background1"/>
                    <w:tabs>
                      <w:tab w:val="left" w:pos="709"/>
                    </w:tabs>
                    <w:suppressAutoHyphens/>
                    <w:autoSpaceDE w:val="0"/>
                    <w:autoSpaceDN w:val="0"/>
                    <w:adjustRightInd w:val="0"/>
                    <w:spacing w:line="100" w:lineRule="atLeast"/>
                    <w:ind w:right="67"/>
                  </w:pPr>
                  <w:r w:rsidRPr="00F41519">
                    <w:t>___________________________</w:t>
                  </w:r>
                </w:p>
                <w:p w:rsidR="00E81497" w:rsidRPr="00F41519" w:rsidRDefault="00E81497" w:rsidP="00FC2FC2">
                  <w:pPr>
                    <w:shd w:val="clear" w:color="auto" w:fill="FFFFFF" w:themeFill="background1"/>
                    <w:tabs>
                      <w:tab w:val="left" w:pos="0"/>
                      <w:tab w:val="left" w:pos="709"/>
                      <w:tab w:val="left" w:pos="1080"/>
                      <w:tab w:val="left" w:pos="5529"/>
                    </w:tabs>
                    <w:jc w:val="center"/>
                  </w:pPr>
                  <w:r w:rsidRPr="00F41519">
                    <w:t>(адреса)</w:t>
                  </w:r>
                </w:p>
              </w:tc>
            </w:tr>
          </w:tbl>
          <w:p w:rsidR="00E81497" w:rsidRPr="00F41519" w:rsidRDefault="00E81497" w:rsidP="00FC2FC2">
            <w:pPr>
              <w:shd w:val="clear" w:color="auto" w:fill="FFFFFF" w:themeFill="background1"/>
              <w:tabs>
                <w:tab w:val="left" w:pos="709"/>
              </w:tabs>
              <w:suppressAutoHyphens/>
              <w:autoSpaceDE w:val="0"/>
              <w:autoSpaceDN w:val="0"/>
              <w:adjustRightInd w:val="0"/>
              <w:spacing w:line="100" w:lineRule="atLeast"/>
              <w:ind w:right="67" w:firstLine="35"/>
              <w:jc w:val="right"/>
            </w:pPr>
          </w:p>
        </w:tc>
      </w:tr>
    </w:tbl>
    <w:p w:rsidR="00E81497" w:rsidRPr="00F41519" w:rsidRDefault="00E81497" w:rsidP="00FC2FC2">
      <w:pPr>
        <w:shd w:val="clear" w:color="auto" w:fill="FFFFFF" w:themeFill="background1"/>
        <w:tabs>
          <w:tab w:val="left" w:pos="0"/>
          <w:tab w:val="left" w:pos="709"/>
          <w:tab w:val="left" w:pos="1080"/>
          <w:tab w:val="left" w:pos="5529"/>
        </w:tabs>
        <w:jc w:val="center"/>
      </w:pPr>
      <w:r w:rsidRPr="00F41519">
        <w:t>Гарантійний лист</w:t>
      </w:r>
    </w:p>
    <w:p w:rsidR="00E81497" w:rsidRPr="00F41519" w:rsidRDefault="00E81497" w:rsidP="00FC2FC2">
      <w:pPr>
        <w:shd w:val="clear" w:color="auto" w:fill="FFFFFF" w:themeFill="background1"/>
        <w:tabs>
          <w:tab w:val="left" w:pos="0"/>
          <w:tab w:val="left" w:pos="709"/>
          <w:tab w:val="left" w:pos="1080"/>
          <w:tab w:val="left" w:pos="5529"/>
        </w:tabs>
        <w:jc w:val="center"/>
      </w:pPr>
    </w:p>
    <w:p w:rsidR="00E81497" w:rsidRPr="00F41519" w:rsidRDefault="00E81497" w:rsidP="009B5713">
      <w:pPr>
        <w:shd w:val="clear" w:color="auto" w:fill="FFFFFF" w:themeFill="background1"/>
        <w:autoSpaceDE w:val="0"/>
        <w:autoSpaceDN w:val="0"/>
        <w:adjustRightInd w:val="0"/>
        <w:ind w:firstLine="567"/>
      </w:pPr>
      <w:r w:rsidRPr="00F41519">
        <w:t xml:space="preserve">1. Акціонер – власник істотної участі банку/інвестор ________ (офіційне найменування акціонера/інвестора – юридичної особи, для фізичної особи – прізвище, </w:t>
      </w:r>
      <w:r w:rsidR="00DB383B">
        <w:t xml:space="preserve">власне </w:t>
      </w:r>
      <w:r w:rsidRPr="00F41519">
        <w:t xml:space="preserve">ім’я та по батькові) (далі – Акціонер) зобов’язується забезпечити капіталізацію __________ (найменування банку) (далі – банк) у розмірі, передбаченому Програмою капіталізації/реструктуризації банку для забезпечення дотримання необхідного рівня нормативів достатності капіталу, визначеного Національним банком України (далі – Національний банк) за результатами оцінки стійкості банку. </w:t>
      </w:r>
    </w:p>
    <w:p w:rsidR="002B681B" w:rsidRPr="00F41519" w:rsidRDefault="002B681B" w:rsidP="009B5713">
      <w:pPr>
        <w:shd w:val="clear" w:color="auto" w:fill="FFFFFF" w:themeFill="background1"/>
        <w:autoSpaceDE w:val="0"/>
        <w:autoSpaceDN w:val="0"/>
        <w:adjustRightInd w:val="0"/>
        <w:ind w:firstLine="567"/>
      </w:pPr>
    </w:p>
    <w:p w:rsidR="00E81497" w:rsidRPr="00F41519" w:rsidRDefault="00E81497" w:rsidP="009B5713">
      <w:pPr>
        <w:shd w:val="clear" w:color="auto" w:fill="FFFFFF" w:themeFill="background1"/>
        <w:autoSpaceDE w:val="0"/>
        <w:autoSpaceDN w:val="0"/>
        <w:adjustRightInd w:val="0"/>
        <w:ind w:firstLine="567"/>
      </w:pPr>
      <w:r w:rsidRPr="00F41519">
        <w:t xml:space="preserve">2. Акціонер підтверджує свої наміри забезпечити капіталізацію банку </w:t>
      </w:r>
      <w:proofErr w:type="spellStart"/>
      <w:r w:rsidRPr="00F41519">
        <w:t>пропорційно</w:t>
      </w:r>
      <w:proofErr w:type="spellEnd"/>
      <w:r w:rsidRPr="00F41519">
        <w:t xml:space="preserve"> власній частці в капіталі банку з метою дотримання </w:t>
      </w:r>
      <w:r w:rsidR="00DF7F25" w:rsidRPr="00F41519">
        <w:t xml:space="preserve">розміру </w:t>
      </w:r>
      <w:r w:rsidR="00DF7F25" w:rsidRPr="00F41519">
        <w:rPr>
          <w:lang w:eastAsia="ru-RU"/>
        </w:rPr>
        <w:t xml:space="preserve">регулятивного капіталу, основного капіталу, </w:t>
      </w:r>
      <w:r w:rsidRPr="00F41519">
        <w:t xml:space="preserve">значень нормативу достатності </w:t>
      </w:r>
      <w:r w:rsidRPr="00F41519">
        <w:lastRenderedPageBreak/>
        <w:t xml:space="preserve">(адекватності) регулятивного капіталу (Н2) і нормативу достатності основного капіталу (Н3) на необхідному рівні та в строки, установлені Національним банком та визначені в Програмі капіталізації/реструктуризації банку, яку затверджено рішенням ради банку від </w:t>
      </w:r>
      <w:r w:rsidR="00DB383B">
        <w:t>“</w:t>
      </w:r>
      <w:r w:rsidRPr="00F41519">
        <w:t>__</w:t>
      </w:r>
      <w:r w:rsidR="00DB383B">
        <w:t xml:space="preserve">” </w:t>
      </w:r>
      <w:r w:rsidRPr="00F41519">
        <w:t>_____</w:t>
      </w:r>
      <w:r w:rsidR="00DB383B">
        <w:t>__</w:t>
      </w:r>
      <w:r w:rsidRPr="00F41519">
        <w:t xml:space="preserve"> ____ року (протокол №</w:t>
      </w:r>
      <w:r w:rsidR="00B35496">
        <w:t xml:space="preserve"> </w:t>
      </w:r>
      <w:r w:rsidRPr="00F41519">
        <w:t xml:space="preserve">__), на загальну суму _______ млн грн до </w:t>
      </w:r>
      <w:r w:rsidR="00DB383B">
        <w:t>“</w:t>
      </w:r>
      <w:r w:rsidRPr="00F41519">
        <w:t>__</w:t>
      </w:r>
      <w:r w:rsidR="00DB383B">
        <w:t>”</w:t>
      </w:r>
      <w:r w:rsidRPr="00F41519">
        <w:t xml:space="preserve"> _______ ____ року.</w:t>
      </w:r>
      <w:r w:rsidR="00FC2FC2" w:rsidRPr="00F41519">
        <w:t xml:space="preserve">  </w:t>
      </w:r>
    </w:p>
    <w:p w:rsidR="00E81497" w:rsidRPr="00F41519" w:rsidRDefault="00E81497" w:rsidP="009B5713">
      <w:pPr>
        <w:shd w:val="clear" w:color="auto" w:fill="FFFFFF" w:themeFill="background1"/>
        <w:autoSpaceDE w:val="0"/>
        <w:autoSpaceDN w:val="0"/>
        <w:adjustRightInd w:val="0"/>
        <w:ind w:firstLine="567"/>
        <w:rPr>
          <w:i/>
        </w:rPr>
      </w:pPr>
    </w:p>
    <w:p w:rsidR="00E81497" w:rsidRPr="00F41519" w:rsidRDefault="00E81497" w:rsidP="009B5713">
      <w:pPr>
        <w:shd w:val="clear" w:color="auto" w:fill="FFFFFF" w:themeFill="background1"/>
        <w:autoSpaceDE w:val="0"/>
        <w:autoSpaceDN w:val="0"/>
        <w:adjustRightInd w:val="0"/>
        <w:ind w:firstLine="567"/>
      </w:pPr>
      <w:r w:rsidRPr="00F41519">
        <w:t xml:space="preserve">3. Капіталізація банку проводитиметься: </w:t>
      </w:r>
    </w:p>
    <w:p w:rsidR="005443DA" w:rsidRPr="00F41519" w:rsidRDefault="005443DA" w:rsidP="009B5713">
      <w:pPr>
        <w:shd w:val="clear" w:color="auto" w:fill="FFFFFF" w:themeFill="background1"/>
        <w:autoSpaceDE w:val="0"/>
        <w:autoSpaceDN w:val="0"/>
        <w:adjustRightInd w:val="0"/>
        <w:ind w:firstLine="567"/>
      </w:pPr>
    </w:p>
    <w:p w:rsidR="00E81497" w:rsidRPr="00F41519" w:rsidRDefault="00E81497" w:rsidP="009B5713">
      <w:pPr>
        <w:pStyle w:val="af3"/>
        <w:numPr>
          <w:ilvl w:val="0"/>
          <w:numId w:val="13"/>
        </w:numPr>
        <w:shd w:val="clear" w:color="auto" w:fill="FFFFFF" w:themeFill="background1"/>
        <w:autoSpaceDE w:val="0"/>
        <w:autoSpaceDN w:val="0"/>
        <w:adjustRightInd w:val="0"/>
        <w:ind w:left="0" w:firstLine="567"/>
      </w:pPr>
      <w:r w:rsidRPr="00F41519">
        <w:t xml:space="preserve">шляхом збільшення статутного капіталу в розмірі _____ млн грн до </w:t>
      </w:r>
      <w:r w:rsidRPr="00F41519">
        <w:br/>
      </w:r>
      <w:r w:rsidR="00DB383B">
        <w:t>“</w:t>
      </w:r>
      <w:r w:rsidRPr="00F41519">
        <w:t>__</w:t>
      </w:r>
      <w:r w:rsidR="00DB383B">
        <w:t>”</w:t>
      </w:r>
      <w:r w:rsidRPr="00F41519">
        <w:t xml:space="preserve"> ____________ ____ року за рахунок  власних грошових коштів Акціонера;</w:t>
      </w:r>
    </w:p>
    <w:p w:rsidR="005443DA" w:rsidRPr="00F41519" w:rsidRDefault="005443DA" w:rsidP="009B5713">
      <w:pPr>
        <w:shd w:val="clear" w:color="auto" w:fill="FFFFFF" w:themeFill="background1"/>
        <w:autoSpaceDE w:val="0"/>
        <w:autoSpaceDN w:val="0"/>
        <w:adjustRightInd w:val="0"/>
        <w:ind w:firstLine="567"/>
      </w:pPr>
    </w:p>
    <w:p w:rsidR="00E81497" w:rsidRPr="00F41519" w:rsidRDefault="00E81497" w:rsidP="009B5713">
      <w:pPr>
        <w:pStyle w:val="af3"/>
        <w:numPr>
          <w:ilvl w:val="0"/>
          <w:numId w:val="13"/>
        </w:numPr>
        <w:shd w:val="clear" w:color="auto" w:fill="FFFFFF" w:themeFill="background1"/>
        <w:autoSpaceDE w:val="0"/>
        <w:autoSpaceDN w:val="0"/>
        <w:adjustRightInd w:val="0"/>
        <w:ind w:left="0" w:firstLine="567"/>
      </w:pPr>
      <w:r w:rsidRPr="00F41519">
        <w:t xml:space="preserve">іншими шляхами (зазначаються </w:t>
      </w:r>
      <w:r w:rsidR="00051E34">
        <w:t>суми за кожним із</w:t>
      </w:r>
      <w:r w:rsidRPr="00F41519">
        <w:t xml:space="preserve"> таких шляхів).</w:t>
      </w:r>
    </w:p>
    <w:p w:rsidR="00E81497" w:rsidRPr="00F41519" w:rsidRDefault="00E81497" w:rsidP="009B5713">
      <w:pPr>
        <w:shd w:val="clear" w:color="auto" w:fill="FFFFFF" w:themeFill="background1"/>
        <w:autoSpaceDE w:val="0"/>
        <w:autoSpaceDN w:val="0"/>
        <w:adjustRightInd w:val="0"/>
        <w:ind w:firstLine="567"/>
      </w:pPr>
      <w:r w:rsidRPr="00F41519">
        <w:t>Акціонер запевняє, що капіталізація банку не здійснюватиметься за рахунок кредитних коштів, отриманих безпосередньо в банку або іншому банку прямо або опосередковано через пов’язаних із ним осіб. Акціонер здійснюватиме капіталізацію банку за рахунок власних коштів.</w:t>
      </w:r>
    </w:p>
    <w:p w:rsidR="00E81497" w:rsidRPr="00F41519" w:rsidRDefault="00E81497" w:rsidP="009B5713">
      <w:pPr>
        <w:shd w:val="clear" w:color="auto" w:fill="FFFFFF" w:themeFill="background1"/>
        <w:autoSpaceDE w:val="0"/>
        <w:autoSpaceDN w:val="0"/>
        <w:adjustRightInd w:val="0"/>
        <w:ind w:firstLine="567"/>
      </w:pPr>
      <w:r w:rsidRPr="00F41519">
        <w:t>Акціонер також зобов’язується забезпечити подання до Національного банку необхідних документів, які відповідають вимогам Національного банку щодо погодження статуту банку та змін до нього, набуття та/або збільшення істотної участі в банку.</w:t>
      </w:r>
    </w:p>
    <w:p w:rsidR="00E81497" w:rsidRPr="00F41519" w:rsidRDefault="00E81497" w:rsidP="009B5713">
      <w:pPr>
        <w:shd w:val="clear" w:color="auto" w:fill="FFFFFF" w:themeFill="background1"/>
        <w:autoSpaceDE w:val="0"/>
        <w:autoSpaceDN w:val="0"/>
        <w:adjustRightInd w:val="0"/>
        <w:ind w:firstLine="567"/>
      </w:pPr>
    </w:p>
    <w:p w:rsidR="00E81497" w:rsidRPr="00F41519" w:rsidRDefault="00E81497" w:rsidP="009B5713">
      <w:pPr>
        <w:shd w:val="clear" w:color="auto" w:fill="FFFFFF" w:themeFill="background1"/>
        <w:autoSpaceDE w:val="0"/>
        <w:autoSpaceDN w:val="0"/>
        <w:adjustRightInd w:val="0"/>
        <w:ind w:firstLine="567"/>
      </w:pPr>
      <w:r w:rsidRPr="00F41519">
        <w:t xml:space="preserve">4. Акціонер зобов’язується ужити всіх залежних від нього заходів для  забезпечення приведення діяльності банку у відповідність до вимог банківського законодавства та нормативно-правових актів Національного банку і забезпечить виконання запланованих заходів щодо зменшення заборгованості пов’язаних із банком осіб </w:t>
      </w:r>
      <w:r w:rsidR="000E22A5">
        <w:t>до</w:t>
      </w:r>
      <w:r w:rsidRPr="00F41519">
        <w:t xml:space="preserve"> запланован</w:t>
      </w:r>
      <w:r w:rsidR="000E22A5">
        <w:t>их</w:t>
      </w:r>
      <w:r w:rsidRPr="00F41519">
        <w:t xml:space="preserve"> банком розмір</w:t>
      </w:r>
      <w:r w:rsidR="000E22A5">
        <w:t>ів</w:t>
      </w:r>
      <w:r w:rsidRPr="00F41519">
        <w:t xml:space="preserve"> та</w:t>
      </w:r>
      <w:r w:rsidR="000E22A5">
        <w:t xml:space="preserve"> у відповідні</w:t>
      </w:r>
      <w:r w:rsidRPr="00F41519">
        <w:t xml:space="preserve"> строки.</w:t>
      </w:r>
      <w:r w:rsidR="00FC2FC2" w:rsidRPr="00F41519">
        <w:t xml:space="preserve">  </w:t>
      </w:r>
    </w:p>
    <w:p w:rsidR="00E81497" w:rsidRPr="00F41519" w:rsidRDefault="00E81497" w:rsidP="009B5713">
      <w:pPr>
        <w:shd w:val="clear" w:color="auto" w:fill="FFFFFF" w:themeFill="background1"/>
        <w:autoSpaceDE w:val="0"/>
        <w:autoSpaceDN w:val="0"/>
        <w:adjustRightInd w:val="0"/>
        <w:ind w:firstLine="567"/>
      </w:pPr>
      <w:r w:rsidRPr="00F41519">
        <w:t>Акціонер усвідомлює свою відповідальність за невиконання взятих на себе зобов’язань.</w:t>
      </w:r>
    </w:p>
    <w:p w:rsidR="00E81497" w:rsidRPr="00F41519" w:rsidRDefault="00E81497" w:rsidP="009B5713">
      <w:pPr>
        <w:shd w:val="clear" w:color="auto" w:fill="FFFFFF" w:themeFill="background1"/>
        <w:autoSpaceDE w:val="0"/>
        <w:autoSpaceDN w:val="0"/>
        <w:adjustRightInd w:val="0"/>
        <w:ind w:firstLine="567"/>
      </w:pPr>
    </w:p>
    <w:tbl>
      <w:tblPr>
        <w:tblW w:w="9854" w:type="dxa"/>
        <w:tblLayout w:type="fixed"/>
        <w:tblLook w:val="04A0" w:firstRow="1" w:lastRow="0" w:firstColumn="1" w:lastColumn="0" w:noHBand="0" w:noVBand="1"/>
      </w:tblPr>
      <w:tblGrid>
        <w:gridCol w:w="4926"/>
        <w:gridCol w:w="4928"/>
      </w:tblGrid>
      <w:tr w:rsidR="00F41519" w:rsidRPr="00F41519" w:rsidTr="0080507F">
        <w:tc>
          <w:tcPr>
            <w:tcW w:w="4926" w:type="dxa"/>
            <w:hideMark/>
          </w:tcPr>
          <w:p w:rsidR="00E81497" w:rsidRPr="00F41519" w:rsidRDefault="00E81497" w:rsidP="00FC2FC2">
            <w:pPr>
              <w:shd w:val="clear" w:color="auto" w:fill="FFFFFF" w:themeFill="background1"/>
              <w:autoSpaceDE w:val="0"/>
              <w:autoSpaceDN w:val="0"/>
              <w:adjustRightInd w:val="0"/>
            </w:pPr>
            <w:r w:rsidRPr="00F41519">
              <w:t>“__” _________ _____ року</w:t>
            </w:r>
          </w:p>
        </w:tc>
        <w:tc>
          <w:tcPr>
            <w:tcW w:w="4928" w:type="dxa"/>
            <w:hideMark/>
          </w:tcPr>
          <w:p w:rsidR="00E81497" w:rsidRPr="00F41519" w:rsidRDefault="00E81497" w:rsidP="00FC2FC2">
            <w:pPr>
              <w:shd w:val="clear" w:color="auto" w:fill="FFFFFF" w:themeFill="background1"/>
              <w:autoSpaceDE w:val="0"/>
              <w:autoSpaceDN w:val="0"/>
              <w:adjustRightInd w:val="0"/>
            </w:pPr>
            <w:r w:rsidRPr="00F41519">
              <w:t>Для фізичних осіб:</w:t>
            </w:r>
          </w:p>
          <w:p w:rsidR="00E81497" w:rsidRPr="00F41519" w:rsidRDefault="00E81497" w:rsidP="00FC2FC2">
            <w:pPr>
              <w:shd w:val="clear" w:color="auto" w:fill="FFFFFF" w:themeFill="background1"/>
              <w:autoSpaceDE w:val="0"/>
              <w:autoSpaceDN w:val="0"/>
              <w:adjustRightInd w:val="0"/>
            </w:pPr>
            <w:r w:rsidRPr="00F41519">
              <w:t xml:space="preserve">Паспорт: серія </w:t>
            </w:r>
            <w:r w:rsidR="000E22A5">
              <w:t xml:space="preserve">(за наявності) </w:t>
            </w:r>
            <w:r w:rsidRPr="00F41519">
              <w:t>_____ №</w:t>
            </w:r>
            <w:r w:rsidR="000E22A5">
              <w:t> </w:t>
            </w:r>
            <w:r w:rsidRPr="00F41519">
              <w:t>_________, виданий __________</w:t>
            </w:r>
            <w:r w:rsidR="000E22A5">
              <w:t>.</w:t>
            </w:r>
            <w:r w:rsidRPr="00F41519">
              <w:t xml:space="preserve"> </w:t>
            </w:r>
          </w:p>
          <w:p w:rsidR="00E81497" w:rsidRPr="00F41519" w:rsidRDefault="00E81497" w:rsidP="00FC2FC2">
            <w:pPr>
              <w:shd w:val="clear" w:color="auto" w:fill="FFFFFF" w:themeFill="background1"/>
              <w:autoSpaceDE w:val="0"/>
              <w:autoSpaceDN w:val="0"/>
              <w:adjustRightInd w:val="0"/>
            </w:pPr>
            <w:r w:rsidRPr="00F41519">
              <w:t>Адреса проживання</w:t>
            </w:r>
            <w:r w:rsidR="000E22A5">
              <w:t>:</w:t>
            </w:r>
            <w:r w:rsidRPr="00F41519">
              <w:t xml:space="preserve"> ______________</w:t>
            </w:r>
            <w:r w:rsidR="000E22A5">
              <w:t>.</w:t>
            </w:r>
            <w:r w:rsidRPr="00F41519">
              <w:t xml:space="preserve"> Реєстраційний номер облікової картки платника податків ____________</w:t>
            </w:r>
            <w:r w:rsidR="000E22A5">
              <w:t>_____.</w:t>
            </w:r>
          </w:p>
        </w:tc>
      </w:tr>
      <w:tr w:rsidR="00E92DFD" w:rsidRPr="00F41519" w:rsidTr="0080507F">
        <w:trPr>
          <w:trHeight w:val="2284"/>
        </w:trPr>
        <w:tc>
          <w:tcPr>
            <w:tcW w:w="4926" w:type="dxa"/>
          </w:tcPr>
          <w:p w:rsidR="00E81497" w:rsidRPr="00F41519" w:rsidRDefault="00E81497" w:rsidP="00FC2FC2">
            <w:pPr>
              <w:shd w:val="clear" w:color="auto" w:fill="FFFFFF" w:themeFill="background1"/>
              <w:autoSpaceDE w:val="0"/>
              <w:autoSpaceDN w:val="0"/>
              <w:adjustRightInd w:val="0"/>
              <w:ind w:firstLine="709"/>
            </w:pPr>
          </w:p>
        </w:tc>
        <w:tc>
          <w:tcPr>
            <w:tcW w:w="4928" w:type="dxa"/>
          </w:tcPr>
          <w:p w:rsidR="00E81497" w:rsidRPr="00F41519" w:rsidRDefault="00E81497" w:rsidP="00FC2FC2">
            <w:pPr>
              <w:shd w:val="clear" w:color="auto" w:fill="FFFFFF" w:themeFill="background1"/>
              <w:autoSpaceDE w:val="0"/>
              <w:autoSpaceDN w:val="0"/>
              <w:adjustRightInd w:val="0"/>
              <w:ind w:firstLine="35"/>
            </w:pPr>
            <w:r w:rsidRPr="00F41519">
              <w:t>Для юридичних осіб:</w:t>
            </w:r>
          </w:p>
          <w:p w:rsidR="00E81497" w:rsidRPr="00F41519" w:rsidRDefault="00E81497" w:rsidP="00FC2FC2">
            <w:pPr>
              <w:shd w:val="clear" w:color="auto" w:fill="FFFFFF" w:themeFill="background1"/>
              <w:autoSpaceDE w:val="0"/>
              <w:autoSpaceDN w:val="0"/>
              <w:adjustRightInd w:val="0"/>
              <w:ind w:firstLine="35"/>
            </w:pPr>
            <w:r w:rsidRPr="00F41519">
              <w:t>_____________________________</w:t>
            </w:r>
          </w:p>
          <w:p w:rsidR="00E81497" w:rsidRPr="00F41519" w:rsidRDefault="00E81497" w:rsidP="00FC2FC2">
            <w:pPr>
              <w:shd w:val="clear" w:color="auto" w:fill="FFFFFF" w:themeFill="background1"/>
              <w:autoSpaceDE w:val="0"/>
              <w:autoSpaceDN w:val="0"/>
              <w:adjustRightInd w:val="0"/>
              <w:ind w:firstLine="35"/>
            </w:pPr>
            <w:r w:rsidRPr="00F41519">
              <w:t xml:space="preserve">                 (найменування)</w:t>
            </w:r>
          </w:p>
          <w:p w:rsidR="00C465C1" w:rsidRPr="00F41519" w:rsidRDefault="00E81497" w:rsidP="00FC2FC2">
            <w:pPr>
              <w:shd w:val="clear" w:color="auto" w:fill="FFFFFF" w:themeFill="background1"/>
              <w:autoSpaceDE w:val="0"/>
              <w:autoSpaceDN w:val="0"/>
              <w:adjustRightInd w:val="0"/>
              <w:ind w:firstLine="35"/>
            </w:pPr>
            <w:r w:rsidRPr="00F41519">
              <w:t>Код за Є</w:t>
            </w:r>
            <w:r w:rsidR="00C465C1" w:rsidRPr="00F41519">
              <w:t>диним державним реєстром</w:t>
            </w:r>
          </w:p>
          <w:p w:rsidR="00E81497" w:rsidRPr="00F41519" w:rsidRDefault="00C465C1" w:rsidP="00FC2FC2">
            <w:pPr>
              <w:shd w:val="clear" w:color="auto" w:fill="FFFFFF" w:themeFill="background1"/>
              <w:autoSpaceDE w:val="0"/>
              <w:autoSpaceDN w:val="0"/>
              <w:adjustRightInd w:val="0"/>
              <w:ind w:firstLine="35"/>
            </w:pPr>
            <w:r w:rsidRPr="00F41519">
              <w:t xml:space="preserve">підприємств та організацій </w:t>
            </w:r>
            <w:r w:rsidR="00E81497" w:rsidRPr="00F41519">
              <w:t>У</w:t>
            </w:r>
            <w:r w:rsidRPr="00F41519">
              <w:t>країни</w:t>
            </w:r>
          </w:p>
          <w:p w:rsidR="00E81497" w:rsidRPr="00F41519" w:rsidRDefault="00E81497" w:rsidP="00FC2FC2">
            <w:pPr>
              <w:shd w:val="clear" w:color="auto" w:fill="FFFFFF" w:themeFill="background1"/>
              <w:autoSpaceDE w:val="0"/>
              <w:autoSpaceDN w:val="0"/>
              <w:adjustRightInd w:val="0"/>
              <w:ind w:firstLine="35"/>
            </w:pPr>
            <w:r w:rsidRPr="00F41519">
              <w:t>Юридична адреса: ________________</w:t>
            </w:r>
            <w:r w:rsidR="000E22A5">
              <w:t>.</w:t>
            </w:r>
          </w:p>
          <w:p w:rsidR="00E81497" w:rsidRPr="00F41519" w:rsidRDefault="00E81497" w:rsidP="000E22A5">
            <w:pPr>
              <w:shd w:val="clear" w:color="auto" w:fill="FFFFFF" w:themeFill="background1"/>
              <w:autoSpaceDE w:val="0"/>
              <w:autoSpaceDN w:val="0"/>
              <w:adjustRightInd w:val="0"/>
              <w:ind w:firstLine="35"/>
            </w:pPr>
            <w:r w:rsidRPr="00F41519">
              <w:t>Фактична адреса:</w:t>
            </w:r>
            <w:r w:rsidR="000E22A5">
              <w:t xml:space="preserve"> </w:t>
            </w:r>
            <w:r w:rsidRPr="00F41519">
              <w:t>_______________.”</w:t>
            </w:r>
            <w:r w:rsidR="000E22A5">
              <w:t>.</w:t>
            </w:r>
          </w:p>
        </w:tc>
      </w:tr>
    </w:tbl>
    <w:p w:rsidR="005D2ECC" w:rsidRPr="00F41519" w:rsidRDefault="005D2ECC" w:rsidP="009B5713">
      <w:pPr>
        <w:shd w:val="clear" w:color="auto" w:fill="FFFFFF" w:themeFill="background1"/>
        <w:tabs>
          <w:tab w:val="left" w:pos="0"/>
          <w:tab w:val="left" w:pos="851"/>
        </w:tabs>
        <w:ind w:firstLine="567"/>
      </w:pPr>
    </w:p>
    <w:p w:rsidR="00E81497" w:rsidRPr="00F41519" w:rsidRDefault="00D57E76" w:rsidP="009B5713">
      <w:pPr>
        <w:shd w:val="clear" w:color="auto" w:fill="FFFFFF" w:themeFill="background1"/>
        <w:tabs>
          <w:tab w:val="left" w:pos="0"/>
          <w:tab w:val="left" w:pos="851"/>
        </w:tabs>
        <w:ind w:firstLine="567"/>
      </w:pPr>
      <w:r w:rsidRPr="00F41519">
        <w:t>8</w:t>
      </w:r>
      <w:r w:rsidR="00E81497" w:rsidRPr="00F41519">
        <w:t xml:space="preserve">. </w:t>
      </w:r>
      <w:r w:rsidR="0080507F" w:rsidRPr="00F41519">
        <w:t xml:space="preserve">Програма капіталізації/реструктуризації банку </w:t>
      </w:r>
      <w:r w:rsidR="000114EB" w:rsidRPr="00F41519">
        <w:t>затверджується радою банку за результатами розгляду пропозицій правління банку</w:t>
      </w:r>
      <w:r w:rsidR="0080507F" w:rsidRPr="00F41519">
        <w:t>.</w:t>
      </w:r>
    </w:p>
    <w:p w:rsidR="00CD4657" w:rsidRPr="00F41519" w:rsidRDefault="00CD4657" w:rsidP="00FC2FC2">
      <w:pPr>
        <w:shd w:val="clear" w:color="auto" w:fill="FFFFFF" w:themeFill="background1"/>
        <w:jc w:val="center"/>
      </w:pPr>
    </w:p>
    <w:p w:rsidR="00E81497" w:rsidRPr="00F41519" w:rsidRDefault="00E81497" w:rsidP="00FC2FC2">
      <w:pPr>
        <w:shd w:val="clear" w:color="auto" w:fill="FFFFFF" w:themeFill="background1"/>
        <w:jc w:val="center"/>
      </w:pPr>
      <w:r w:rsidRPr="00F41519">
        <w:t>ІІ. Програма капіталізації/реструктуризації банку</w:t>
      </w:r>
    </w:p>
    <w:p w:rsidR="00E81497" w:rsidRPr="00F41519" w:rsidRDefault="00E81497" w:rsidP="00FC2FC2">
      <w:pPr>
        <w:shd w:val="clear" w:color="auto" w:fill="FFFFFF" w:themeFill="background1"/>
        <w:jc w:val="center"/>
      </w:pPr>
    </w:p>
    <w:p w:rsidR="00E81497" w:rsidRPr="00F41519" w:rsidRDefault="00D57E76" w:rsidP="009B5713">
      <w:pPr>
        <w:shd w:val="clear" w:color="auto" w:fill="FFFFFF" w:themeFill="background1"/>
        <w:tabs>
          <w:tab w:val="left" w:pos="0"/>
          <w:tab w:val="left" w:pos="993"/>
        </w:tabs>
        <w:ind w:firstLine="567"/>
      </w:pPr>
      <w:r w:rsidRPr="00F41519">
        <w:t>9</w:t>
      </w:r>
      <w:r w:rsidR="00E81497" w:rsidRPr="00F41519">
        <w:t>. Програма капіталізації/реструктуризації банку повинна містити план капіталізації/реструктуризації та документи, інформацію, що підтверджують можливість реалізації запланованих заходів.</w:t>
      </w:r>
    </w:p>
    <w:p w:rsidR="00E81497" w:rsidRPr="00F41519" w:rsidRDefault="00E81497" w:rsidP="009B5713">
      <w:pPr>
        <w:shd w:val="clear" w:color="auto" w:fill="FFFFFF" w:themeFill="background1"/>
        <w:ind w:firstLine="567"/>
      </w:pPr>
      <w:r w:rsidRPr="00F41519">
        <w:t>План капіталізації/реструктуризації складається за такою формою:</w:t>
      </w:r>
    </w:p>
    <w:p w:rsidR="005D2ECC" w:rsidRPr="00F41519" w:rsidRDefault="005D2ECC" w:rsidP="00EE52AA">
      <w:pPr>
        <w:shd w:val="clear" w:color="auto" w:fill="FFFFFF" w:themeFill="background1"/>
        <w:tabs>
          <w:tab w:val="left" w:pos="851"/>
          <w:tab w:val="left" w:pos="993"/>
        </w:tabs>
        <w:jc w:val="right"/>
      </w:pPr>
    </w:p>
    <w:p w:rsidR="004D00E0" w:rsidRPr="00F41519" w:rsidRDefault="004D00E0" w:rsidP="00EE52AA">
      <w:pPr>
        <w:shd w:val="clear" w:color="auto" w:fill="FFFFFF" w:themeFill="background1"/>
        <w:tabs>
          <w:tab w:val="left" w:pos="851"/>
          <w:tab w:val="left" w:pos="993"/>
        </w:tabs>
        <w:jc w:val="right"/>
      </w:pPr>
      <w:r w:rsidRPr="00F41519">
        <w:t>Таблиця</w:t>
      </w:r>
    </w:p>
    <w:p w:rsidR="00E81497" w:rsidRPr="00F41519" w:rsidRDefault="00E81497" w:rsidP="00FC2FC2">
      <w:pPr>
        <w:pStyle w:val="af3"/>
        <w:shd w:val="clear" w:color="auto" w:fill="FFFFFF" w:themeFill="background1"/>
        <w:tabs>
          <w:tab w:val="left" w:pos="851"/>
          <w:tab w:val="left" w:pos="993"/>
        </w:tabs>
        <w:ind w:left="1495"/>
        <w:jc w:val="right"/>
        <w:rPr>
          <w:rFonts w:eastAsiaTheme="minorEastAsia"/>
          <w:lang w:eastAsia="ru-RU"/>
        </w:rPr>
      </w:pPr>
      <w:r w:rsidRPr="00F41519">
        <w:rPr>
          <w:rFonts w:eastAsiaTheme="minorEastAsia"/>
          <w:lang w:eastAsia="ru-RU"/>
        </w:rPr>
        <w:t xml:space="preserve">  (проценти</w:t>
      </w:r>
      <w:r w:rsidR="009D0410" w:rsidRPr="00F41519">
        <w:rPr>
          <w:rFonts w:eastAsiaTheme="minorEastAsia"/>
          <w:lang w:eastAsia="ru-RU"/>
        </w:rPr>
        <w:t>, тисячі гривень</w:t>
      </w:r>
      <w:r w:rsidRPr="00F41519">
        <w:rPr>
          <w:rFonts w:eastAsiaTheme="minorEastAsia"/>
          <w:lang w:eastAsia="ru-RU"/>
        </w:rPr>
        <w:t>)</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3566"/>
        <w:gridCol w:w="1094"/>
        <w:gridCol w:w="1134"/>
        <w:gridCol w:w="1566"/>
        <w:gridCol w:w="1411"/>
      </w:tblGrid>
      <w:tr w:rsidR="00F41519" w:rsidRPr="00F41519" w:rsidTr="009A09CD">
        <w:trPr>
          <w:trHeight w:val="53"/>
        </w:trPr>
        <w:tc>
          <w:tcPr>
            <w:tcW w:w="722" w:type="dxa"/>
            <w:vMerge w:val="restart"/>
            <w:shd w:val="clear" w:color="auto" w:fill="FFFFFF" w:themeFill="background1"/>
            <w:vAlign w:val="center"/>
            <w:hideMark/>
          </w:tcPr>
          <w:p w:rsidR="00117228" w:rsidRPr="00F41519" w:rsidRDefault="00117228" w:rsidP="00FC2FC2">
            <w:pPr>
              <w:shd w:val="clear" w:color="auto" w:fill="FFFFFF" w:themeFill="background1"/>
              <w:ind w:left="-57" w:right="-57"/>
              <w:jc w:val="center"/>
            </w:pPr>
            <w:r w:rsidRPr="00F41519">
              <w:t xml:space="preserve">№ </w:t>
            </w:r>
          </w:p>
          <w:p w:rsidR="00117228" w:rsidRPr="00F41519" w:rsidRDefault="00117228" w:rsidP="00FC2FC2">
            <w:pPr>
              <w:shd w:val="clear" w:color="auto" w:fill="FFFFFF" w:themeFill="background1"/>
              <w:ind w:left="-57" w:right="-57"/>
              <w:jc w:val="center"/>
            </w:pPr>
            <w:r w:rsidRPr="00F41519">
              <w:t>з/п</w:t>
            </w:r>
          </w:p>
        </w:tc>
        <w:tc>
          <w:tcPr>
            <w:tcW w:w="3566" w:type="dxa"/>
            <w:vMerge w:val="restart"/>
            <w:shd w:val="clear" w:color="auto" w:fill="FFFFFF" w:themeFill="background1"/>
            <w:vAlign w:val="center"/>
            <w:hideMark/>
          </w:tcPr>
          <w:p w:rsidR="00117228" w:rsidRPr="00F41519" w:rsidRDefault="00117228" w:rsidP="00FC2FC2">
            <w:pPr>
              <w:shd w:val="clear" w:color="auto" w:fill="FFFFFF" w:themeFill="background1"/>
              <w:jc w:val="center"/>
            </w:pPr>
            <w:r w:rsidRPr="00F41519">
              <w:t>Строк досягнення запланованого значення</w:t>
            </w:r>
          </w:p>
        </w:tc>
        <w:tc>
          <w:tcPr>
            <w:tcW w:w="5205" w:type="dxa"/>
            <w:gridSpan w:val="4"/>
            <w:shd w:val="clear" w:color="auto" w:fill="FFFFFF" w:themeFill="background1"/>
            <w:vAlign w:val="center"/>
          </w:tcPr>
          <w:p w:rsidR="00117228" w:rsidRPr="00F41519" w:rsidRDefault="00117228" w:rsidP="006C2240">
            <w:pPr>
              <w:shd w:val="clear" w:color="auto" w:fill="FFFFFF" w:themeFill="background1"/>
              <w:jc w:val="center"/>
              <w:rPr>
                <w:lang w:val="en-US"/>
              </w:rPr>
            </w:pPr>
            <w:r w:rsidRPr="00F41519">
              <w:t>Планові показники</w:t>
            </w:r>
          </w:p>
        </w:tc>
      </w:tr>
      <w:tr w:rsidR="00F41519" w:rsidRPr="00F41519" w:rsidTr="00FC2FC2">
        <w:trPr>
          <w:trHeight w:val="53"/>
        </w:trPr>
        <w:tc>
          <w:tcPr>
            <w:tcW w:w="722" w:type="dxa"/>
            <w:vMerge/>
            <w:shd w:val="clear" w:color="auto" w:fill="FFFFFF" w:themeFill="background1"/>
            <w:vAlign w:val="center"/>
          </w:tcPr>
          <w:p w:rsidR="00117228" w:rsidRPr="00F41519" w:rsidRDefault="00117228" w:rsidP="00117228">
            <w:pPr>
              <w:shd w:val="clear" w:color="auto" w:fill="FFFFFF" w:themeFill="background1"/>
              <w:ind w:left="-57" w:right="-57"/>
              <w:jc w:val="center"/>
            </w:pPr>
          </w:p>
        </w:tc>
        <w:tc>
          <w:tcPr>
            <w:tcW w:w="3566" w:type="dxa"/>
            <w:vMerge/>
            <w:shd w:val="clear" w:color="auto" w:fill="FFFFFF" w:themeFill="background1"/>
            <w:vAlign w:val="center"/>
          </w:tcPr>
          <w:p w:rsidR="00117228" w:rsidRPr="00F41519" w:rsidRDefault="00117228" w:rsidP="00117228">
            <w:pPr>
              <w:shd w:val="clear" w:color="auto" w:fill="FFFFFF" w:themeFill="background1"/>
              <w:jc w:val="center"/>
            </w:pPr>
          </w:p>
        </w:tc>
        <w:tc>
          <w:tcPr>
            <w:tcW w:w="2228" w:type="dxa"/>
            <w:gridSpan w:val="2"/>
            <w:shd w:val="clear" w:color="auto" w:fill="FFFFFF" w:themeFill="background1"/>
            <w:vAlign w:val="center"/>
          </w:tcPr>
          <w:p w:rsidR="00117228" w:rsidRPr="00F41519" w:rsidRDefault="00117228" w:rsidP="00117228">
            <w:pPr>
              <w:shd w:val="clear" w:color="auto" w:fill="FFFFFF" w:themeFill="background1"/>
              <w:ind w:left="-57" w:right="-57"/>
              <w:jc w:val="center"/>
            </w:pPr>
            <w:proofErr w:type="spellStart"/>
            <w:r w:rsidRPr="00F41519">
              <w:rPr>
                <w:lang w:val="ru-RU"/>
              </w:rPr>
              <w:t>значення</w:t>
            </w:r>
            <w:proofErr w:type="spellEnd"/>
            <w:r w:rsidRPr="00F41519">
              <w:rPr>
                <w:lang w:val="ru-RU"/>
              </w:rPr>
              <w:t xml:space="preserve"> н</w:t>
            </w:r>
            <w:proofErr w:type="spellStart"/>
            <w:r w:rsidRPr="00F41519">
              <w:t>орма-тивів</w:t>
            </w:r>
            <w:proofErr w:type="spellEnd"/>
            <w:r w:rsidRPr="00F41519">
              <w:t xml:space="preserve"> достатності капіталу </w:t>
            </w:r>
          </w:p>
        </w:tc>
        <w:tc>
          <w:tcPr>
            <w:tcW w:w="2977" w:type="dxa"/>
            <w:gridSpan w:val="2"/>
            <w:shd w:val="clear" w:color="auto" w:fill="FFFFFF" w:themeFill="background1"/>
            <w:vAlign w:val="center"/>
          </w:tcPr>
          <w:p w:rsidR="00117228" w:rsidRPr="00F41519" w:rsidRDefault="00117228" w:rsidP="00117228">
            <w:pPr>
              <w:shd w:val="clear" w:color="auto" w:fill="FFFFFF" w:themeFill="background1"/>
              <w:jc w:val="center"/>
            </w:pPr>
            <w:r w:rsidRPr="00F41519">
              <w:t>розмір капіталу</w:t>
            </w:r>
          </w:p>
        </w:tc>
      </w:tr>
      <w:tr w:rsidR="00F41519" w:rsidRPr="00F41519" w:rsidTr="00FC2FC2">
        <w:trPr>
          <w:trHeight w:val="62"/>
        </w:trPr>
        <w:tc>
          <w:tcPr>
            <w:tcW w:w="722" w:type="dxa"/>
            <w:vMerge/>
            <w:shd w:val="clear" w:color="auto" w:fill="FFFFFF" w:themeFill="background1"/>
            <w:vAlign w:val="center"/>
            <w:hideMark/>
          </w:tcPr>
          <w:p w:rsidR="00117228" w:rsidRPr="00F41519" w:rsidRDefault="00117228" w:rsidP="00117228">
            <w:pPr>
              <w:shd w:val="clear" w:color="auto" w:fill="FFFFFF" w:themeFill="background1"/>
            </w:pPr>
          </w:p>
        </w:tc>
        <w:tc>
          <w:tcPr>
            <w:tcW w:w="3566" w:type="dxa"/>
            <w:vMerge/>
            <w:shd w:val="clear" w:color="auto" w:fill="FFFFFF" w:themeFill="background1"/>
            <w:vAlign w:val="center"/>
            <w:hideMark/>
          </w:tcPr>
          <w:p w:rsidR="00117228" w:rsidRPr="00F41519" w:rsidRDefault="00117228" w:rsidP="00117228">
            <w:pPr>
              <w:shd w:val="clear" w:color="auto" w:fill="FFFFFF" w:themeFill="background1"/>
            </w:pPr>
          </w:p>
        </w:tc>
        <w:tc>
          <w:tcPr>
            <w:tcW w:w="1094" w:type="dxa"/>
            <w:shd w:val="clear" w:color="auto" w:fill="FFFFFF" w:themeFill="background1"/>
            <w:vAlign w:val="center"/>
          </w:tcPr>
          <w:p w:rsidR="00117228" w:rsidRPr="00F41519" w:rsidRDefault="00117228" w:rsidP="00117228">
            <w:pPr>
              <w:shd w:val="clear" w:color="auto" w:fill="FFFFFF" w:themeFill="background1"/>
              <w:tabs>
                <w:tab w:val="left" w:pos="851"/>
                <w:tab w:val="left" w:pos="993"/>
              </w:tabs>
              <w:jc w:val="center"/>
            </w:pPr>
            <w:r w:rsidRPr="00F41519">
              <w:t>Н2</w:t>
            </w:r>
          </w:p>
        </w:tc>
        <w:tc>
          <w:tcPr>
            <w:tcW w:w="1134" w:type="dxa"/>
            <w:shd w:val="clear" w:color="auto" w:fill="FFFFFF" w:themeFill="background1"/>
            <w:vAlign w:val="center"/>
          </w:tcPr>
          <w:p w:rsidR="00117228" w:rsidRPr="00F41519" w:rsidRDefault="00117228" w:rsidP="00117228">
            <w:pPr>
              <w:shd w:val="clear" w:color="auto" w:fill="FFFFFF" w:themeFill="background1"/>
              <w:tabs>
                <w:tab w:val="left" w:pos="851"/>
                <w:tab w:val="left" w:pos="993"/>
              </w:tabs>
              <w:jc w:val="center"/>
            </w:pPr>
            <w:r w:rsidRPr="00F41519">
              <w:t>Н3</w:t>
            </w:r>
          </w:p>
        </w:tc>
        <w:tc>
          <w:tcPr>
            <w:tcW w:w="1566" w:type="dxa"/>
            <w:shd w:val="clear" w:color="auto" w:fill="FFFFFF" w:themeFill="background1"/>
            <w:vAlign w:val="center"/>
            <w:hideMark/>
          </w:tcPr>
          <w:p w:rsidR="00117228" w:rsidRPr="00F41519" w:rsidRDefault="00117228" w:rsidP="00117228">
            <w:pPr>
              <w:shd w:val="clear" w:color="auto" w:fill="FFFFFF" w:themeFill="background1"/>
              <w:ind w:left="-57" w:right="-57"/>
              <w:jc w:val="center"/>
            </w:pPr>
            <w:proofErr w:type="spellStart"/>
            <w:r w:rsidRPr="00F41519">
              <w:t>регуля-тивн</w:t>
            </w:r>
            <w:r w:rsidR="00B101F9" w:rsidRPr="00F41519">
              <w:t>ий</w:t>
            </w:r>
            <w:proofErr w:type="spellEnd"/>
            <w:r w:rsidRPr="00F41519">
              <w:t xml:space="preserve"> капітал </w:t>
            </w:r>
          </w:p>
          <w:p w:rsidR="00117228" w:rsidRPr="00F41519" w:rsidRDefault="00117228" w:rsidP="00117228">
            <w:pPr>
              <w:shd w:val="clear" w:color="auto" w:fill="FFFFFF" w:themeFill="background1"/>
              <w:ind w:left="-57" w:right="-57"/>
              <w:jc w:val="center"/>
            </w:pPr>
            <w:r w:rsidRPr="00F41519">
              <w:t>(РК)</w:t>
            </w:r>
          </w:p>
        </w:tc>
        <w:tc>
          <w:tcPr>
            <w:tcW w:w="1411" w:type="dxa"/>
            <w:shd w:val="clear" w:color="auto" w:fill="FFFFFF" w:themeFill="background1"/>
            <w:vAlign w:val="center"/>
          </w:tcPr>
          <w:p w:rsidR="00117228" w:rsidRPr="00F41519" w:rsidRDefault="00B101F9" w:rsidP="00117228">
            <w:pPr>
              <w:shd w:val="clear" w:color="auto" w:fill="FFFFFF" w:themeFill="background1"/>
              <w:ind w:left="-57" w:right="-57"/>
              <w:jc w:val="center"/>
            </w:pPr>
            <w:r w:rsidRPr="00F41519">
              <w:t>о</w:t>
            </w:r>
            <w:r w:rsidR="00117228" w:rsidRPr="00F41519">
              <w:t>сновний</w:t>
            </w:r>
            <w:r w:rsidRPr="00F41519">
              <w:t xml:space="preserve"> капітал</w:t>
            </w:r>
            <w:r w:rsidR="00117228" w:rsidRPr="00F41519">
              <w:t xml:space="preserve"> (ОК)</w:t>
            </w:r>
          </w:p>
        </w:tc>
      </w:tr>
      <w:tr w:rsidR="00F41519" w:rsidRPr="00F41519" w:rsidTr="00FC2FC2">
        <w:trPr>
          <w:trHeight w:val="266"/>
        </w:trPr>
        <w:tc>
          <w:tcPr>
            <w:tcW w:w="722" w:type="dxa"/>
            <w:shd w:val="clear" w:color="auto" w:fill="FFFFFF" w:themeFill="background1"/>
            <w:vAlign w:val="center"/>
          </w:tcPr>
          <w:p w:rsidR="00117228" w:rsidRPr="00F41519" w:rsidRDefault="00117228" w:rsidP="00117228">
            <w:pPr>
              <w:shd w:val="clear" w:color="auto" w:fill="FFFFFF" w:themeFill="background1"/>
              <w:jc w:val="center"/>
            </w:pPr>
            <w:r w:rsidRPr="00F41519">
              <w:t>1</w:t>
            </w:r>
          </w:p>
        </w:tc>
        <w:tc>
          <w:tcPr>
            <w:tcW w:w="3566" w:type="dxa"/>
            <w:shd w:val="clear" w:color="auto" w:fill="FFFFFF" w:themeFill="background1"/>
            <w:vAlign w:val="center"/>
          </w:tcPr>
          <w:p w:rsidR="00117228" w:rsidRPr="00F41519" w:rsidRDefault="00117228" w:rsidP="00117228">
            <w:pPr>
              <w:shd w:val="clear" w:color="auto" w:fill="FFFFFF" w:themeFill="background1"/>
              <w:jc w:val="center"/>
            </w:pPr>
            <w:r w:rsidRPr="00F41519">
              <w:t>2</w:t>
            </w:r>
          </w:p>
        </w:tc>
        <w:tc>
          <w:tcPr>
            <w:tcW w:w="1094" w:type="dxa"/>
            <w:shd w:val="clear" w:color="auto" w:fill="FFFFFF" w:themeFill="background1"/>
            <w:vAlign w:val="center"/>
          </w:tcPr>
          <w:p w:rsidR="00117228" w:rsidRPr="00F41519" w:rsidRDefault="00117228" w:rsidP="00117228">
            <w:pPr>
              <w:shd w:val="clear" w:color="auto" w:fill="FFFFFF" w:themeFill="background1"/>
              <w:jc w:val="center"/>
            </w:pPr>
            <w:r w:rsidRPr="00F41519">
              <w:t>3</w:t>
            </w:r>
          </w:p>
        </w:tc>
        <w:tc>
          <w:tcPr>
            <w:tcW w:w="1134" w:type="dxa"/>
            <w:shd w:val="clear" w:color="auto" w:fill="FFFFFF" w:themeFill="background1"/>
          </w:tcPr>
          <w:p w:rsidR="00117228" w:rsidRPr="00F41519" w:rsidRDefault="00117228" w:rsidP="00117228">
            <w:pPr>
              <w:shd w:val="clear" w:color="auto" w:fill="FFFFFF" w:themeFill="background1"/>
              <w:jc w:val="center"/>
            </w:pPr>
            <w:r w:rsidRPr="00F41519">
              <w:t>4</w:t>
            </w:r>
          </w:p>
        </w:tc>
        <w:tc>
          <w:tcPr>
            <w:tcW w:w="1566" w:type="dxa"/>
            <w:shd w:val="clear" w:color="auto" w:fill="FFFFFF" w:themeFill="background1"/>
            <w:vAlign w:val="center"/>
          </w:tcPr>
          <w:p w:rsidR="00117228" w:rsidRPr="00F41519" w:rsidRDefault="00117228" w:rsidP="00117228">
            <w:pPr>
              <w:shd w:val="clear" w:color="auto" w:fill="FFFFFF" w:themeFill="background1"/>
              <w:jc w:val="center"/>
            </w:pPr>
            <w:r w:rsidRPr="00F41519">
              <w:t>5</w:t>
            </w:r>
          </w:p>
        </w:tc>
        <w:tc>
          <w:tcPr>
            <w:tcW w:w="1411" w:type="dxa"/>
            <w:shd w:val="clear" w:color="auto" w:fill="FFFFFF" w:themeFill="background1"/>
            <w:vAlign w:val="center"/>
          </w:tcPr>
          <w:p w:rsidR="00117228" w:rsidRPr="00F41519" w:rsidRDefault="00117228" w:rsidP="00117228">
            <w:pPr>
              <w:shd w:val="clear" w:color="auto" w:fill="FFFFFF" w:themeFill="background1"/>
              <w:jc w:val="center"/>
            </w:pPr>
            <w:r w:rsidRPr="00F41519">
              <w:t>6</w:t>
            </w:r>
          </w:p>
        </w:tc>
      </w:tr>
      <w:tr w:rsidR="00F41519" w:rsidRPr="00F41519" w:rsidTr="00FC2FC2">
        <w:trPr>
          <w:trHeight w:val="266"/>
        </w:trPr>
        <w:tc>
          <w:tcPr>
            <w:tcW w:w="722" w:type="dxa"/>
            <w:shd w:val="clear" w:color="auto" w:fill="FFFFFF" w:themeFill="background1"/>
          </w:tcPr>
          <w:p w:rsidR="00117228" w:rsidRPr="00F41519" w:rsidRDefault="00117228" w:rsidP="00117228">
            <w:pPr>
              <w:shd w:val="clear" w:color="auto" w:fill="FFFFFF" w:themeFill="background1"/>
              <w:jc w:val="center"/>
            </w:pPr>
            <w:r w:rsidRPr="00F41519">
              <w:t>1</w:t>
            </w:r>
          </w:p>
        </w:tc>
        <w:tc>
          <w:tcPr>
            <w:tcW w:w="3566" w:type="dxa"/>
            <w:shd w:val="clear" w:color="auto" w:fill="FFFFFF" w:themeFill="background1"/>
            <w:vAlign w:val="center"/>
          </w:tcPr>
          <w:p w:rsidR="00117228" w:rsidRPr="00F41519" w:rsidRDefault="00117228" w:rsidP="00117228">
            <w:pPr>
              <w:shd w:val="clear" w:color="auto" w:fill="FFFFFF" w:themeFill="background1"/>
              <w:rPr>
                <w:lang w:eastAsia="ru-RU"/>
              </w:rPr>
            </w:pPr>
            <w:r w:rsidRPr="00F41519">
              <w:rPr>
                <w:lang w:eastAsia="ru-RU"/>
              </w:rPr>
              <w:t>Станом на</w:t>
            </w:r>
          </w:p>
          <w:p w:rsidR="00117228" w:rsidRPr="00F41519" w:rsidRDefault="00117228" w:rsidP="00117228">
            <w:pPr>
              <w:shd w:val="clear" w:color="auto" w:fill="FFFFFF" w:themeFill="background1"/>
            </w:pPr>
            <w:r w:rsidRPr="00F41519">
              <w:rPr>
                <w:lang w:eastAsia="ru-RU"/>
              </w:rPr>
              <w:t>01 _______   _______ року</w:t>
            </w:r>
            <w:r w:rsidRPr="00F41519">
              <w:rPr>
                <w:lang w:eastAsia="ru-RU"/>
              </w:rPr>
              <w:br/>
              <w:t>(за  результатами першого етапу оцінки стійкості)</w:t>
            </w:r>
          </w:p>
        </w:tc>
        <w:tc>
          <w:tcPr>
            <w:tcW w:w="1094" w:type="dxa"/>
            <w:shd w:val="clear" w:color="auto" w:fill="FFFFFF" w:themeFill="background1"/>
            <w:vAlign w:val="center"/>
          </w:tcPr>
          <w:p w:rsidR="00117228" w:rsidRPr="00F41519" w:rsidRDefault="00117228" w:rsidP="00117228">
            <w:pPr>
              <w:shd w:val="clear" w:color="auto" w:fill="FFFFFF" w:themeFill="background1"/>
              <w:jc w:val="center"/>
            </w:pPr>
          </w:p>
        </w:tc>
        <w:tc>
          <w:tcPr>
            <w:tcW w:w="1134" w:type="dxa"/>
            <w:shd w:val="clear" w:color="auto" w:fill="FFFFFF" w:themeFill="background1"/>
          </w:tcPr>
          <w:p w:rsidR="00117228" w:rsidRPr="00F41519" w:rsidRDefault="00117228" w:rsidP="00117228">
            <w:pPr>
              <w:shd w:val="clear" w:color="auto" w:fill="FFFFFF" w:themeFill="background1"/>
              <w:jc w:val="center"/>
            </w:pPr>
          </w:p>
        </w:tc>
        <w:tc>
          <w:tcPr>
            <w:tcW w:w="1566" w:type="dxa"/>
            <w:shd w:val="clear" w:color="auto" w:fill="FFFFFF" w:themeFill="background1"/>
            <w:vAlign w:val="center"/>
          </w:tcPr>
          <w:p w:rsidR="00117228" w:rsidRPr="00F41519" w:rsidRDefault="00117228" w:rsidP="00117228">
            <w:pPr>
              <w:shd w:val="clear" w:color="auto" w:fill="FFFFFF" w:themeFill="background1"/>
              <w:jc w:val="center"/>
            </w:pPr>
          </w:p>
        </w:tc>
        <w:tc>
          <w:tcPr>
            <w:tcW w:w="1411" w:type="dxa"/>
            <w:shd w:val="clear" w:color="auto" w:fill="FFFFFF" w:themeFill="background1"/>
            <w:vAlign w:val="center"/>
          </w:tcPr>
          <w:p w:rsidR="00117228" w:rsidRPr="00F41519" w:rsidRDefault="00117228" w:rsidP="00117228">
            <w:pPr>
              <w:shd w:val="clear" w:color="auto" w:fill="FFFFFF" w:themeFill="background1"/>
              <w:jc w:val="center"/>
            </w:pPr>
          </w:p>
        </w:tc>
      </w:tr>
      <w:tr w:rsidR="00F41519" w:rsidRPr="00F41519" w:rsidTr="00FC2FC2">
        <w:trPr>
          <w:trHeight w:val="266"/>
        </w:trPr>
        <w:tc>
          <w:tcPr>
            <w:tcW w:w="722" w:type="dxa"/>
            <w:shd w:val="clear" w:color="auto" w:fill="FFFFFF" w:themeFill="background1"/>
          </w:tcPr>
          <w:p w:rsidR="00117228" w:rsidRPr="00F41519" w:rsidRDefault="00117228" w:rsidP="00117228">
            <w:pPr>
              <w:shd w:val="clear" w:color="auto" w:fill="FFFFFF" w:themeFill="background1"/>
              <w:jc w:val="center"/>
            </w:pPr>
            <w:r w:rsidRPr="00F41519">
              <w:t>2</w:t>
            </w:r>
          </w:p>
        </w:tc>
        <w:tc>
          <w:tcPr>
            <w:tcW w:w="3566" w:type="dxa"/>
            <w:shd w:val="clear" w:color="auto" w:fill="FFFFFF" w:themeFill="background1"/>
          </w:tcPr>
          <w:p w:rsidR="00117228" w:rsidRPr="00F41519" w:rsidRDefault="00117228" w:rsidP="00117228">
            <w:pPr>
              <w:shd w:val="clear" w:color="auto" w:fill="FFFFFF" w:themeFill="background1"/>
              <w:rPr>
                <w:lang w:eastAsia="ru-RU"/>
              </w:rPr>
            </w:pPr>
            <w:r w:rsidRPr="00F41519">
              <w:rPr>
                <w:lang w:eastAsia="ru-RU"/>
              </w:rPr>
              <w:t>Станом на</w:t>
            </w:r>
          </w:p>
          <w:p w:rsidR="00117228" w:rsidRPr="00F41519" w:rsidRDefault="00117228" w:rsidP="00117228">
            <w:pPr>
              <w:shd w:val="clear" w:color="auto" w:fill="FFFFFF" w:themeFill="background1"/>
              <w:rPr>
                <w:lang w:eastAsia="ru-RU"/>
              </w:rPr>
            </w:pPr>
            <w:r w:rsidRPr="00F41519">
              <w:rPr>
                <w:lang w:eastAsia="ru-RU"/>
              </w:rPr>
              <w:t>01 _______   _______ року</w:t>
            </w:r>
          </w:p>
          <w:p w:rsidR="00117228" w:rsidRPr="00F41519" w:rsidRDefault="00117228" w:rsidP="00117228">
            <w:pPr>
              <w:shd w:val="clear" w:color="auto" w:fill="FFFFFF" w:themeFill="background1"/>
              <w:rPr>
                <w:lang w:eastAsia="ru-RU"/>
              </w:rPr>
            </w:pPr>
            <w:r w:rsidRPr="00F41519">
              <w:rPr>
                <w:lang w:eastAsia="ru-RU"/>
              </w:rPr>
              <w:t xml:space="preserve"> (з урахуванням упроваджених заходів/фактичних подій)</w:t>
            </w:r>
          </w:p>
        </w:tc>
        <w:tc>
          <w:tcPr>
            <w:tcW w:w="1094" w:type="dxa"/>
            <w:shd w:val="clear" w:color="auto" w:fill="FFFFFF" w:themeFill="background1"/>
            <w:vAlign w:val="center"/>
          </w:tcPr>
          <w:p w:rsidR="00117228" w:rsidRPr="00F41519" w:rsidRDefault="00117228" w:rsidP="00117228">
            <w:pPr>
              <w:shd w:val="clear" w:color="auto" w:fill="FFFFFF" w:themeFill="background1"/>
              <w:jc w:val="center"/>
            </w:pPr>
          </w:p>
        </w:tc>
        <w:tc>
          <w:tcPr>
            <w:tcW w:w="1134" w:type="dxa"/>
            <w:shd w:val="clear" w:color="auto" w:fill="FFFFFF" w:themeFill="background1"/>
            <w:vAlign w:val="center"/>
          </w:tcPr>
          <w:p w:rsidR="00117228" w:rsidRPr="00F41519" w:rsidRDefault="00117228" w:rsidP="00117228">
            <w:pPr>
              <w:shd w:val="clear" w:color="auto" w:fill="FFFFFF" w:themeFill="background1"/>
              <w:jc w:val="center"/>
            </w:pPr>
          </w:p>
        </w:tc>
        <w:tc>
          <w:tcPr>
            <w:tcW w:w="1566" w:type="dxa"/>
            <w:shd w:val="clear" w:color="auto" w:fill="FFFFFF" w:themeFill="background1"/>
            <w:vAlign w:val="center"/>
          </w:tcPr>
          <w:p w:rsidR="00117228" w:rsidRPr="00F41519" w:rsidRDefault="00117228" w:rsidP="00117228">
            <w:pPr>
              <w:shd w:val="clear" w:color="auto" w:fill="FFFFFF" w:themeFill="background1"/>
              <w:jc w:val="center"/>
            </w:pPr>
          </w:p>
        </w:tc>
        <w:tc>
          <w:tcPr>
            <w:tcW w:w="1411" w:type="dxa"/>
            <w:shd w:val="clear" w:color="auto" w:fill="FFFFFF" w:themeFill="background1"/>
            <w:vAlign w:val="center"/>
          </w:tcPr>
          <w:p w:rsidR="00117228" w:rsidRPr="00F41519" w:rsidRDefault="00117228" w:rsidP="00117228">
            <w:pPr>
              <w:shd w:val="clear" w:color="auto" w:fill="FFFFFF" w:themeFill="background1"/>
              <w:jc w:val="center"/>
            </w:pPr>
          </w:p>
        </w:tc>
      </w:tr>
      <w:tr w:rsidR="00F41519" w:rsidRPr="00F41519" w:rsidTr="00FC2FC2">
        <w:trPr>
          <w:trHeight w:val="266"/>
        </w:trPr>
        <w:tc>
          <w:tcPr>
            <w:tcW w:w="722" w:type="dxa"/>
            <w:shd w:val="clear" w:color="auto" w:fill="FFFFFF" w:themeFill="background1"/>
          </w:tcPr>
          <w:p w:rsidR="00117228" w:rsidRPr="00F41519" w:rsidRDefault="00117228" w:rsidP="00117228">
            <w:pPr>
              <w:shd w:val="clear" w:color="auto" w:fill="FFFFFF" w:themeFill="background1"/>
              <w:jc w:val="center"/>
            </w:pPr>
            <w:r w:rsidRPr="00F41519">
              <w:t>3</w:t>
            </w:r>
          </w:p>
        </w:tc>
        <w:tc>
          <w:tcPr>
            <w:tcW w:w="3566" w:type="dxa"/>
            <w:shd w:val="clear" w:color="auto" w:fill="FFFFFF" w:themeFill="background1"/>
          </w:tcPr>
          <w:p w:rsidR="00117228" w:rsidRPr="00F41519" w:rsidRDefault="00117228" w:rsidP="00117228">
            <w:pPr>
              <w:shd w:val="clear" w:color="auto" w:fill="FFFFFF" w:themeFill="background1"/>
              <w:rPr>
                <w:lang w:eastAsia="ru-RU"/>
              </w:rPr>
            </w:pPr>
            <w:r w:rsidRPr="00F41519">
              <w:rPr>
                <w:lang w:eastAsia="ru-RU"/>
              </w:rPr>
              <w:t>Станом на</w:t>
            </w:r>
          </w:p>
          <w:p w:rsidR="00117228" w:rsidRPr="00F41519" w:rsidRDefault="00117228" w:rsidP="00117228">
            <w:pPr>
              <w:shd w:val="clear" w:color="auto" w:fill="FFFFFF" w:themeFill="background1"/>
              <w:ind w:right="-57"/>
              <w:rPr>
                <w:strike/>
              </w:rPr>
            </w:pPr>
            <w:r w:rsidRPr="00F41519">
              <w:rPr>
                <w:lang w:eastAsia="ru-RU"/>
              </w:rPr>
              <w:t xml:space="preserve">01  _______   _______ року </w:t>
            </w:r>
          </w:p>
        </w:tc>
        <w:tc>
          <w:tcPr>
            <w:tcW w:w="1094" w:type="dxa"/>
            <w:shd w:val="clear" w:color="auto" w:fill="FFFFFF" w:themeFill="background1"/>
            <w:vAlign w:val="center"/>
          </w:tcPr>
          <w:p w:rsidR="00117228" w:rsidRPr="00F41519" w:rsidRDefault="00117228" w:rsidP="00117228">
            <w:pPr>
              <w:shd w:val="clear" w:color="auto" w:fill="FFFFFF" w:themeFill="background1"/>
              <w:jc w:val="center"/>
            </w:pPr>
          </w:p>
        </w:tc>
        <w:tc>
          <w:tcPr>
            <w:tcW w:w="1134" w:type="dxa"/>
            <w:shd w:val="clear" w:color="auto" w:fill="FFFFFF" w:themeFill="background1"/>
            <w:vAlign w:val="center"/>
          </w:tcPr>
          <w:p w:rsidR="00117228" w:rsidRPr="00F41519" w:rsidRDefault="00117228" w:rsidP="00117228">
            <w:pPr>
              <w:shd w:val="clear" w:color="auto" w:fill="FFFFFF" w:themeFill="background1"/>
              <w:jc w:val="center"/>
            </w:pPr>
          </w:p>
        </w:tc>
        <w:tc>
          <w:tcPr>
            <w:tcW w:w="1566" w:type="dxa"/>
            <w:shd w:val="clear" w:color="auto" w:fill="FFFFFF" w:themeFill="background1"/>
            <w:vAlign w:val="center"/>
          </w:tcPr>
          <w:p w:rsidR="00117228" w:rsidRPr="00F41519" w:rsidRDefault="00117228" w:rsidP="00117228">
            <w:pPr>
              <w:shd w:val="clear" w:color="auto" w:fill="FFFFFF" w:themeFill="background1"/>
              <w:jc w:val="center"/>
            </w:pPr>
          </w:p>
        </w:tc>
        <w:tc>
          <w:tcPr>
            <w:tcW w:w="1411" w:type="dxa"/>
            <w:shd w:val="clear" w:color="auto" w:fill="FFFFFF" w:themeFill="background1"/>
            <w:vAlign w:val="center"/>
          </w:tcPr>
          <w:p w:rsidR="00117228" w:rsidRPr="00F41519" w:rsidRDefault="00117228" w:rsidP="00117228">
            <w:pPr>
              <w:shd w:val="clear" w:color="auto" w:fill="FFFFFF" w:themeFill="background1"/>
              <w:jc w:val="center"/>
            </w:pPr>
          </w:p>
        </w:tc>
      </w:tr>
      <w:tr w:rsidR="00F41519" w:rsidRPr="00F41519" w:rsidTr="00FC2FC2">
        <w:trPr>
          <w:trHeight w:val="266"/>
        </w:trPr>
        <w:tc>
          <w:tcPr>
            <w:tcW w:w="722" w:type="dxa"/>
            <w:shd w:val="clear" w:color="auto" w:fill="FFFFFF" w:themeFill="background1"/>
          </w:tcPr>
          <w:p w:rsidR="00117228" w:rsidRPr="00F41519" w:rsidRDefault="00117228" w:rsidP="00117228">
            <w:pPr>
              <w:shd w:val="clear" w:color="auto" w:fill="FFFFFF" w:themeFill="background1"/>
            </w:pPr>
            <w:r w:rsidRPr="00F41519">
              <w:t>…</w:t>
            </w:r>
          </w:p>
        </w:tc>
        <w:tc>
          <w:tcPr>
            <w:tcW w:w="3566" w:type="dxa"/>
            <w:shd w:val="clear" w:color="auto" w:fill="FFFFFF" w:themeFill="background1"/>
          </w:tcPr>
          <w:p w:rsidR="00117228" w:rsidRPr="00F41519" w:rsidRDefault="00117228" w:rsidP="00117228">
            <w:pPr>
              <w:shd w:val="clear" w:color="auto" w:fill="FFFFFF" w:themeFill="background1"/>
            </w:pPr>
            <w:r w:rsidRPr="00F41519">
              <w:t>…</w:t>
            </w:r>
          </w:p>
        </w:tc>
        <w:tc>
          <w:tcPr>
            <w:tcW w:w="1094" w:type="dxa"/>
            <w:shd w:val="clear" w:color="auto" w:fill="FFFFFF" w:themeFill="background1"/>
            <w:vAlign w:val="center"/>
          </w:tcPr>
          <w:p w:rsidR="00117228" w:rsidRPr="00F41519" w:rsidRDefault="00117228" w:rsidP="00117228">
            <w:pPr>
              <w:shd w:val="clear" w:color="auto" w:fill="FFFFFF" w:themeFill="background1"/>
              <w:jc w:val="center"/>
            </w:pPr>
          </w:p>
        </w:tc>
        <w:tc>
          <w:tcPr>
            <w:tcW w:w="1134" w:type="dxa"/>
            <w:shd w:val="clear" w:color="auto" w:fill="FFFFFF" w:themeFill="background1"/>
            <w:vAlign w:val="center"/>
          </w:tcPr>
          <w:p w:rsidR="00117228" w:rsidRPr="00F41519" w:rsidRDefault="00117228" w:rsidP="00117228">
            <w:pPr>
              <w:shd w:val="clear" w:color="auto" w:fill="FFFFFF" w:themeFill="background1"/>
              <w:jc w:val="center"/>
            </w:pPr>
          </w:p>
        </w:tc>
        <w:tc>
          <w:tcPr>
            <w:tcW w:w="1566" w:type="dxa"/>
            <w:shd w:val="clear" w:color="auto" w:fill="FFFFFF" w:themeFill="background1"/>
            <w:vAlign w:val="center"/>
          </w:tcPr>
          <w:p w:rsidR="00117228" w:rsidRPr="00F41519" w:rsidRDefault="00117228" w:rsidP="00117228">
            <w:pPr>
              <w:shd w:val="clear" w:color="auto" w:fill="FFFFFF" w:themeFill="background1"/>
              <w:jc w:val="center"/>
            </w:pPr>
          </w:p>
        </w:tc>
        <w:tc>
          <w:tcPr>
            <w:tcW w:w="1411" w:type="dxa"/>
            <w:shd w:val="clear" w:color="auto" w:fill="FFFFFF" w:themeFill="background1"/>
            <w:vAlign w:val="center"/>
          </w:tcPr>
          <w:p w:rsidR="00117228" w:rsidRPr="00F41519" w:rsidRDefault="00117228" w:rsidP="00117228">
            <w:pPr>
              <w:shd w:val="clear" w:color="auto" w:fill="FFFFFF" w:themeFill="background1"/>
              <w:jc w:val="center"/>
            </w:pPr>
          </w:p>
        </w:tc>
      </w:tr>
      <w:tr w:rsidR="00F41519" w:rsidRPr="00F41519" w:rsidTr="00FC2FC2">
        <w:trPr>
          <w:trHeight w:val="266"/>
        </w:trPr>
        <w:tc>
          <w:tcPr>
            <w:tcW w:w="722" w:type="dxa"/>
            <w:shd w:val="clear" w:color="auto" w:fill="FFFFFF" w:themeFill="background1"/>
          </w:tcPr>
          <w:p w:rsidR="00B65F03" w:rsidRPr="00F41519" w:rsidRDefault="00B65F03" w:rsidP="00B65F03">
            <w:pPr>
              <w:shd w:val="clear" w:color="auto" w:fill="FFFFFF" w:themeFill="background1"/>
            </w:pPr>
            <w:r w:rsidRPr="00F41519">
              <w:t>n-2</w:t>
            </w:r>
          </w:p>
        </w:tc>
        <w:tc>
          <w:tcPr>
            <w:tcW w:w="3566" w:type="dxa"/>
            <w:shd w:val="clear" w:color="auto" w:fill="FFFFFF" w:themeFill="background1"/>
          </w:tcPr>
          <w:p w:rsidR="00B65F03" w:rsidRPr="00F41519" w:rsidRDefault="00B65F03" w:rsidP="00B65F03">
            <w:pPr>
              <w:shd w:val="clear" w:color="auto" w:fill="FFFFFF" w:themeFill="background1"/>
            </w:pPr>
            <w:r w:rsidRPr="00F41519">
              <w:t>Станом на</w:t>
            </w:r>
          </w:p>
          <w:p w:rsidR="00B65F03" w:rsidRPr="00F41519" w:rsidRDefault="00B65F03" w:rsidP="00B65F03">
            <w:pPr>
              <w:shd w:val="clear" w:color="auto" w:fill="FFFFFF" w:themeFill="background1"/>
            </w:pPr>
            <w:r w:rsidRPr="00F41519">
              <w:rPr>
                <w:lang w:eastAsia="ru-RU"/>
              </w:rPr>
              <w:t>01 _______   _______ року</w:t>
            </w:r>
          </w:p>
        </w:tc>
        <w:tc>
          <w:tcPr>
            <w:tcW w:w="1094" w:type="dxa"/>
            <w:shd w:val="clear" w:color="auto" w:fill="FFFFFF" w:themeFill="background1"/>
            <w:vAlign w:val="center"/>
          </w:tcPr>
          <w:p w:rsidR="00B65F03" w:rsidRPr="00F41519" w:rsidRDefault="00B65F03" w:rsidP="00B65F03">
            <w:pPr>
              <w:shd w:val="clear" w:color="auto" w:fill="FFFFFF" w:themeFill="background1"/>
              <w:jc w:val="center"/>
            </w:pPr>
          </w:p>
        </w:tc>
        <w:tc>
          <w:tcPr>
            <w:tcW w:w="1134" w:type="dxa"/>
            <w:shd w:val="clear" w:color="auto" w:fill="FFFFFF" w:themeFill="background1"/>
            <w:vAlign w:val="center"/>
          </w:tcPr>
          <w:p w:rsidR="00B65F03" w:rsidRPr="00F41519" w:rsidRDefault="00B65F03" w:rsidP="00B65F03">
            <w:pPr>
              <w:shd w:val="clear" w:color="auto" w:fill="FFFFFF" w:themeFill="background1"/>
              <w:jc w:val="center"/>
            </w:pPr>
          </w:p>
        </w:tc>
        <w:tc>
          <w:tcPr>
            <w:tcW w:w="1566" w:type="dxa"/>
            <w:shd w:val="clear" w:color="auto" w:fill="FFFFFF" w:themeFill="background1"/>
            <w:vAlign w:val="center"/>
          </w:tcPr>
          <w:p w:rsidR="00B65F03" w:rsidRPr="00F41519" w:rsidRDefault="00B65F03" w:rsidP="00B65F03">
            <w:pPr>
              <w:shd w:val="clear" w:color="auto" w:fill="FFFFFF" w:themeFill="background1"/>
              <w:jc w:val="center"/>
            </w:pPr>
          </w:p>
        </w:tc>
        <w:tc>
          <w:tcPr>
            <w:tcW w:w="1411" w:type="dxa"/>
            <w:shd w:val="clear" w:color="auto" w:fill="FFFFFF" w:themeFill="background1"/>
            <w:vAlign w:val="center"/>
          </w:tcPr>
          <w:p w:rsidR="00B65F03" w:rsidRPr="00F41519" w:rsidRDefault="00B65F03" w:rsidP="00B65F03">
            <w:pPr>
              <w:shd w:val="clear" w:color="auto" w:fill="FFFFFF" w:themeFill="background1"/>
              <w:jc w:val="center"/>
            </w:pPr>
          </w:p>
        </w:tc>
      </w:tr>
      <w:tr w:rsidR="00F41519" w:rsidRPr="00F41519" w:rsidTr="00FC2FC2">
        <w:trPr>
          <w:trHeight w:val="266"/>
        </w:trPr>
        <w:tc>
          <w:tcPr>
            <w:tcW w:w="722" w:type="dxa"/>
            <w:shd w:val="clear" w:color="auto" w:fill="FFFFFF" w:themeFill="background1"/>
          </w:tcPr>
          <w:p w:rsidR="00B65F03" w:rsidRPr="00F41519" w:rsidRDefault="00B65F03" w:rsidP="00B65F03">
            <w:pPr>
              <w:shd w:val="clear" w:color="auto" w:fill="FFFFFF" w:themeFill="background1"/>
            </w:pPr>
            <w:r w:rsidRPr="00F41519">
              <w:t>n-1</w:t>
            </w:r>
          </w:p>
        </w:tc>
        <w:tc>
          <w:tcPr>
            <w:tcW w:w="3566" w:type="dxa"/>
            <w:shd w:val="clear" w:color="auto" w:fill="FFFFFF" w:themeFill="background1"/>
          </w:tcPr>
          <w:p w:rsidR="00B65F03" w:rsidRPr="00F41519" w:rsidRDefault="00B65F03" w:rsidP="00B65F03">
            <w:pPr>
              <w:shd w:val="clear" w:color="auto" w:fill="FFFFFF" w:themeFill="background1"/>
            </w:pPr>
            <w:r w:rsidRPr="00F41519">
              <w:t>Станом на</w:t>
            </w:r>
          </w:p>
          <w:p w:rsidR="00B65F03" w:rsidRPr="00F41519" w:rsidRDefault="00B65F03" w:rsidP="00B65F03">
            <w:pPr>
              <w:shd w:val="clear" w:color="auto" w:fill="FFFFFF" w:themeFill="background1"/>
            </w:pPr>
            <w:r w:rsidRPr="00F41519">
              <w:t xml:space="preserve">__ </w:t>
            </w:r>
            <w:r w:rsidRPr="00F41519">
              <w:rPr>
                <w:lang w:eastAsia="ru-RU"/>
              </w:rPr>
              <w:t>_______</w:t>
            </w:r>
            <w:r w:rsidRPr="00F41519">
              <w:t xml:space="preserve"> </w:t>
            </w:r>
            <w:r w:rsidRPr="00F41519">
              <w:rPr>
                <w:lang w:eastAsia="ru-RU"/>
              </w:rPr>
              <w:t>_______</w:t>
            </w:r>
            <w:r w:rsidRPr="00F41519">
              <w:t xml:space="preserve">  року</w:t>
            </w:r>
          </w:p>
          <w:p w:rsidR="00B65F03" w:rsidRPr="00F41519" w:rsidRDefault="00B65F03" w:rsidP="00B65F03">
            <w:pPr>
              <w:shd w:val="clear" w:color="auto" w:fill="FFFFFF" w:themeFill="background1"/>
              <w:ind w:left="-57" w:right="-57"/>
            </w:pPr>
            <w:r w:rsidRPr="00F41519">
              <w:t>(необхідний рівень норма-</w:t>
            </w:r>
            <w:proofErr w:type="spellStart"/>
            <w:r w:rsidRPr="00F41519">
              <w:t>тивів</w:t>
            </w:r>
            <w:proofErr w:type="spellEnd"/>
            <w:r w:rsidRPr="00F41519">
              <w:t xml:space="preserve"> достатності капіталу)</w:t>
            </w:r>
          </w:p>
        </w:tc>
        <w:tc>
          <w:tcPr>
            <w:tcW w:w="1094" w:type="dxa"/>
            <w:shd w:val="clear" w:color="auto" w:fill="FFFFFF" w:themeFill="background1"/>
            <w:vAlign w:val="center"/>
          </w:tcPr>
          <w:p w:rsidR="00B65F03" w:rsidRPr="00F41519" w:rsidRDefault="00B65F03" w:rsidP="00B65F03">
            <w:pPr>
              <w:shd w:val="clear" w:color="auto" w:fill="FFFFFF" w:themeFill="background1"/>
              <w:jc w:val="center"/>
            </w:pPr>
          </w:p>
        </w:tc>
        <w:tc>
          <w:tcPr>
            <w:tcW w:w="1134" w:type="dxa"/>
            <w:shd w:val="clear" w:color="auto" w:fill="FFFFFF" w:themeFill="background1"/>
            <w:vAlign w:val="center"/>
          </w:tcPr>
          <w:p w:rsidR="00B65F03" w:rsidRPr="00F41519" w:rsidRDefault="00B65F03" w:rsidP="00B65F03">
            <w:pPr>
              <w:shd w:val="clear" w:color="auto" w:fill="FFFFFF" w:themeFill="background1"/>
              <w:jc w:val="center"/>
            </w:pPr>
          </w:p>
        </w:tc>
        <w:tc>
          <w:tcPr>
            <w:tcW w:w="1566" w:type="dxa"/>
            <w:shd w:val="clear" w:color="auto" w:fill="FFFFFF" w:themeFill="background1"/>
            <w:vAlign w:val="center"/>
          </w:tcPr>
          <w:p w:rsidR="00B65F03" w:rsidRPr="00F41519" w:rsidRDefault="00B65F03" w:rsidP="00B65F03">
            <w:pPr>
              <w:shd w:val="clear" w:color="auto" w:fill="FFFFFF" w:themeFill="background1"/>
              <w:jc w:val="center"/>
            </w:pPr>
          </w:p>
        </w:tc>
        <w:tc>
          <w:tcPr>
            <w:tcW w:w="1411" w:type="dxa"/>
            <w:shd w:val="clear" w:color="auto" w:fill="FFFFFF" w:themeFill="background1"/>
            <w:vAlign w:val="center"/>
          </w:tcPr>
          <w:p w:rsidR="00B65F03" w:rsidRPr="00F41519" w:rsidRDefault="00B65F03" w:rsidP="00B65F03">
            <w:pPr>
              <w:shd w:val="clear" w:color="auto" w:fill="FFFFFF" w:themeFill="background1"/>
              <w:jc w:val="center"/>
            </w:pPr>
          </w:p>
        </w:tc>
      </w:tr>
      <w:tr w:rsidR="00F41519" w:rsidRPr="00F41519" w:rsidTr="00FC2FC2">
        <w:trPr>
          <w:trHeight w:val="266"/>
        </w:trPr>
        <w:tc>
          <w:tcPr>
            <w:tcW w:w="722" w:type="dxa"/>
            <w:shd w:val="clear" w:color="auto" w:fill="FFFFFF" w:themeFill="background1"/>
          </w:tcPr>
          <w:p w:rsidR="00B65F03" w:rsidRPr="00F41519" w:rsidRDefault="00B65F03" w:rsidP="00B65F03">
            <w:pPr>
              <w:shd w:val="clear" w:color="auto" w:fill="FFFFFF" w:themeFill="background1"/>
            </w:pPr>
            <w:r w:rsidRPr="00F41519">
              <w:rPr>
                <w:lang w:eastAsia="ru-RU"/>
              </w:rPr>
              <w:t>n</w:t>
            </w:r>
          </w:p>
        </w:tc>
        <w:tc>
          <w:tcPr>
            <w:tcW w:w="3566" w:type="dxa"/>
            <w:shd w:val="clear" w:color="auto" w:fill="FFFFFF" w:themeFill="background1"/>
          </w:tcPr>
          <w:p w:rsidR="00B65F03" w:rsidRPr="00F41519" w:rsidRDefault="00B65F03" w:rsidP="00B65F03">
            <w:pPr>
              <w:shd w:val="clear" w:color="auto" w:fill="FFFFFF" w:themeFill="background1"/>
            </w:pPr>
            <w:r w:rsidRPr="00F41519">
              <w:rPr>
                <w:lang w:eastAsia="ru-RU"/>
              </w:rPr>
              <w:t>Усього</w:t>
            </w:r>
          </w:p>
        </w:tc>
        <w:tc>
          <w:tcPr>
            <w:tcW w:w="1094" w:type="dxa"/>
            <w:shd w:val="clear" w:color="auto" w:fill="FFFFFF" w:themeFill="background1"/>
            <w:vAlign w:val="center"/>
          </w:tcPr>
          <w:p w:rsidR="00B65F03" w:rsidRPr="00F41519" w:rsidRDefault="00B65F03" w:rsidP="00B65F03">
            <w:pPr>
              <w:shd w:val="clear" w:color="auto" w:fill="FFFFFF" w:themeFill="background1"/>
              <w:jc w:val="center"/>
            </w:pPr>
            <w:r w:rsidRPr="00F41519">
              <w:t>Х</w:t>
            </w:r>
          </w:p>
        </w:tc>
        <w:tc>
          <w:tcPr>
            <w:tcW w:w="1134" w:type="dxa"/>
            <w:shd w:val="clear" w:color="auto" w:fill="FFFFFF" w:themeFill="background1"/>
            <w:vAlign w:val="center"/>
          </w:tcPr>
          <w:p w:rsidR="00B65F03" w:rsidRPr="00F41519" w:rsidRDefault="00B65F03" w:rsidP="00B65F03">
            <w:pPr>
              <w:shd w:val="clear" w:color="auto" w:fill="FFFFFF" w:themeFill="background1"/>
              <w:jc w:val="center"/>
            </w:pPr>
            <w:r w:rsidRPr="00F41519">
              <w:t>Х</w:t>
            </w:r>
          </w:p>
        </w:tc>
        <w:tc>
          <w:tcPr>
            <w:tcW w:w="1566" w:type="dxa"/>
            <w:shd w:val="clear" w:color="auto" w:fill="FFFFFF" w:themeFill="background1"/>
            <w:vAlign w:val="center"/>
          </w:tcPr>
          <w:p w:rsidR="00B65F03" w:rsidRPr="00F41519" w:rsidRDefault="00B65F03" w:rsidP="00B65F03">
            <w:pPr>
              <w:shd w:val="clear" w:color="auto" w:fill="FFFFFF" w:themeFill="background1"/>
              <w:jc w:val="center"/>
            </w:pPr>
          </w:p>
        </w:tc>
        <w:tc>
          <w:tcPr>
            <w:tcW w:w="1411" w:type="dxa"/>
            <w:shd w:val="clear" w:color="auto" w:fill="FFFFFF" w:themeFill="background1"/>
            <w:vAlign w:val="center"/>
          </w:tcPr>
          <w:p w:rsidR="00B65F03" w:rsidRPr="00F41519" w:rsidRDefault="00B65F03" w:rsidP="00B65F03">
            <w:pPr>
              <w:shd w:val="clear" w:color="auto" w:fill="FFFFFF" w:themeFill="background1"/>
              <w:jc w:val="center"/>
            </w:pPr>
          </w:p>
        </w:tc>
      </w:tr>
    </w:tbl>
    <w:p w:rsidR="00B65F03" w:rsidRPr="00F41519" w:rsidRDefault="00B65F03" w:rsidP="00FC2FC2">
      <w:pPr>
        <w:shd w:val="clear" w:color="auto" w:fill="FFFFFF" w:themeFill="background1"/>
        <w:tabs>
          <w:tab w:val="left" w:pos="851"/>
          <w:tab w:val="left" w:pos="993"/>
        </w:tabs>
        <w:ind w:firstLine="709"/>
        <w:jc w:val="right"/>
      </w:pPr>
    </w:p>
    <w:p w:rsidR="00E81497" w:rsidRPr="00F41519" w:rsidRDefault="00B65F03" w:rsidP="00FC2FC2">
      <w:pPr>
        <w:shd w:val="clear" w:color="auto" w:fill="FFFFFF" w:themeFill="background1"/>
        <w:tabs>
          <w:tab w:val="left" w:pos="851"/>
          <w:tab w:val="left" w:pos="993"/>
        </w:tabs>
        <w:ind w:firstLine="709"/>
        <w:jc w:val="right"/>
      </w:pPr>
      <w:r w:rsidRPr="00F41519">
        <w:lastRenderedPageBreak/>
        <w:t>Продовження таблиці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1589"/>
        <w:gridCol w:w="1700"/>
        <w:gridCol w:w="2125"/>
        <w:gridCol w:w="1983"/>
      </w:tblGrid>
      <w:tr w:rsidR="00F41519" w:rsidRPr="00F41519" w:rsidTr="00773C9F">
        <w:tc>
          <w:tcPr>
            <w:tcW w:w="2233" w:type="dxa"/>
            <w:vMerge w:val="restart"/>
            <w:vAlign w:val="center"/>
          </w:tcPr>
          <w:p w:rsidR="00E81497" w:rsidRPr="00F41519" w:rsidRDefault="00E81497" w:rsidP="00FC2FC2">
            <w:pPr>
              <w:shd w:val="clear" w:color="auto" w:fill="FFFFFF" w:themeFill="background1"/>
              <w:jc w:val="center"/>
            </w:pPr>
            <w:r w:rsidRPr="00F41519">
              <w:t xml:space="preserve">Складові збільшення/ зменшення </w:t>
            </w:r>
          </w:p>
          <w:p w:rsidR="00E81497" w:rsidRPr="00F41519" w:rsidRDefault="00E81497" w:rsidP="00FC2FC2">
            <w:pPr>
              <w:shd w:val="clear" w:color="auto" w:fill="FFFFFF" w:themeFill="background1"/>
              <w:tabs>
                <w:tab w:val="left" w:pos="851"/>
                <w:tab w:val="left" w:pos="993"/>
              </w:tabs>
              <w:jc w:val="center"/>
            </w:pPr>
            <w:r w:rsidRPr="00F41519">
              <w:t>РК/ОК</w:t>
            </w:r>
          </w:p>
        </w:tc>
        <w:tc>
          <w:tcPr>
            <w:tcW w:w="3291" w:type="dxa"/>
            <w:gridSpan w:val="2"/>
            <w:vAlign w:val="center"/>
          </w:tcPr>
          <w:p w:rsidR="00E81497" w:rsidRPr="00F41519" w:rsidRDefault="00E81497" w:rsidP="00FC2FC2">
            <w:pPr>
              <w:shd w:val="clear" w:color="auto" w:fill="FFFFFF" w:themeFill="background1"/>
              <w:tabs>
                <w:tab w:val="left" w:pos="851"/>
                <w:tab w:val="left" w:pos="993"/>
              </w:tabs>
              <w:jc w:val="center"/>
            </w:pPr>
            <w:r w:rsidRPr="00F41519">
              <w:t xml:space="preserve">Сума збільшення/ зменшення </w:t>
            </w:r>
          </w:p>
        </w:tc>
        <w:tc>
          <w:tcPr>
            <w:tcW w:w="2126" w:type="dxa"/>
            <w:vMerge w:val="restart"/>
          </w:tcPr>
          <w:p w:rsidR="00E81497" w:rsidRPr="00F41519" w:rsidRDefault="00E81497" w:rsidP="00FC2FC2">
            <w:pPr>
              <w:shd w:val="clear" w:color="auto" w:fill="FFFFFF" w:themeFill="background1"/>
              <w:tabs>
                <w:tab w:val="left" w:pos="851"/>
                <w:tab w:val="left" w:pos="993"/>
              </w:tabs>
              <w:jc w:val="center"/>
            </w:pPr>
            <w:r w:rsidRPr="00F41519">
              <w:t>Заходи щодо збільшення/ зменшення активів</w:t>
            </w:r>
          </w:p>
        </w:tc>
        <w:tc>
          <w:tcPr>
            <w:tcW w:w="1984" w:type="dxa"/>
            <w:vMerge w:val="restart"/>
            <w:vAlign w:val="center"/>
          </w:tcPr>
          <w:p w:rsidR="00E81497" w:rsidRPr="00F41519" w:rsidRDefault="00E81497" w:rsidP="00FC2FC2">
            <w:pPr>
              <w:shd w:val="clear" w:color="auto" w:fill="FFFFFF" w:themeFill="background1"/>
              <w:tabs>
                <w:tab w:val="left" w:pos="851"/>
                <w:tab w:val="left" w:pos="993"/>
              </w:tabs>
              <w:jc w:val="center"/>
            </w:pPr>
            <w:r w:rsidRPr="00F41519">
              <w:t>Сума збільшення/ зменшення активів</w:t>
            </w:r>
          </w:p>
        </w:tc>
      </w:tr>
      <w:tr w:rsidR="00F41519" w:rsidRPr="00F41519" w:rsidTr="00773C9F">
        <w:tc>
          <w:tcPr>
            <w:tcW w:w="2233" w:type="dxa"/>
            <w:vMerge/>
          </w:tcPr>
          <w:p w:rsidR="00E81497" w:rsidRPr="00F41519" w:rsidRDefault="00E81497" w:rsidP="00FC2FC2">
            <w:pPr>
              <w:shd w:val="clear" w:color="auto" w:fill="FFFFFF" w:themeFill="background1"/>
              <w:jc w:val="center"/>
            </w:pPr>
          </w:p>
        </w:tc>
        <w:tc>
          <w:tcPr>
            <w:tcW w:w="1590" w:type="dxa"/>
            <w:vAlign w:val="center"/>
          </w:tcPr>
          <w:p w:rsidR="00E81497" w:rsidRPr="00F41519" w:rsidRDefault="00E81497" w:rsidP="00FC2FC2">
            <w:pPr>
              <w:shd w:val="clear" w:color="auto" w:fill="FFFFFF" w:themeFill="background1"/>
              <w:jc w:val="center"/>
            </w:pPr>
            <w:r w:rsidRPr="00F41519">
              <w:t>РК</w:t>
            </w:r>
          </w:p>
        </w:tc>
        <w:tc>
          <w:tcPr>
            <w:tcW w:w="1701" w:type="dxa"/>
            <w:vAlign w:val="center"/>
          </w:tcPr>
          <w:p w:rsidR="00E81497" w:rsidRPr="00F41519" w:rsidRDefault="00E81497" w:rsidP="00FC2FC2">
            <w:pPr>
              <w:shd w:val="clear" w:color="auto" w:fill="FFFFFF" w:themeFill="background1"/>
              <w:jc w:val="center"/>
            </w:pPr>
            <w:r w:rsidRPr="00F41519">
              <w:t>ОК</w:t>
            </w:r>
          </w:p>
        </w:tc>
        <w:tc>
          <w:tcPr>
            <w:tcW w:w="2126" w:type="dxa"/>
            <w:vMerge/>
          </w:tcPr>
          <w:p w:rsidR="00E81497" w:rsidRPr="00F41519" w:rsidRDefault="00E81497" w:rsidP="00FC2FC2">
            <w:pPr>
              <w:shd w:val="clear" w:color="auto" w:fill="FFFFFF" w:themeFill="background1"/>
              <w:tabs>
                <w:tab w:val="left" w:pos="851"/>
                <w:tab w:val="left" w:pos="993"/>
              </w:tabs>
              <w:jc w:val="center"/>
            </w:pPr>
          </w:p>
        </w:tc>
        <w:tc>
          <w:tcPr>
            <w:tcW w:w="1984" w:type="dxa"/>
            <w:vMerge/>
          </w:tcPr>
          <w:p w:rsidR="00E81497" w:rsidRPr="00F41519" w:rsidRDefault="00E81497" w:rsidP="00FC2FC2">
            <w:pPr>
              <w:shd w:val="clear" w:color="auto" w:fill="FFFFFF" w:themeFill="background1"/>
              <w:tabs>
                <w:tab w:val="left" w:pos="851"/>
                <w:tab w:val="left" w:pos="993"/>
              </w:tabs>
              <w:jc w:val="center"/>
            </w:pPr>
          </w:p>
        </w:tc>
      </w:tr>
      <w:tr w:rsidR="00F41519" w:rsidRPr="00F41519" w:rsidTr="00773C9F">
        <w:tc>
          <w:tcPr>
            <w:tcW w:w="2233" w:type="dxa"/>
          </w:tcPr>
          <w:p w:rsidR="00E81497" w:rsidRPr="00F41519" w:rsidRDefault="00E81497" w:rsidP="00FC2FC2">
            <w:pPr>
              <w:shd w:val="clear" w:color="auto" w:fill="FFFFFF" w:themeFill="background1"/>
              <w:jc w:val="center"/>
            </w:pPr>
            <w:r w:rsidRPr="00F41519">
              <w:t>7</w:t>
            </w:r>
          </w:p>
        </w:tc>
        <w:tc>
          <w:tcPr>
            <w:tcW w:w="1590" w:type="dxa"/>
          </w:tcPr>
          <w:p w:rsidR="00E81497" w:rsidRPr="00F41519" w:rsidRDefault="00E81497" w:rsidP="00FC2FC2">
            <w:pPr>
              <w:shd w:val="clear" w:color="auto" w:fill="FFFFFF" w:themeFill="background1"/>
              <w:jc w:val="center"/>
            </w:pPr>
            <w:r w:rsidRPr="00F41519">
              <w:t>8</w:t>
            </w:r>
          </w:p>
        </w:tc>
        <w:tc>
          <w:tcPr>
            <w:tcW w:w="1701" w:type="dxa"/>
          </w:tcPr>
          <w:p w:rsidR="00E81497" w:rsidRPr="00F41519" w:rsidRDefault="00E81497" w:rsidP="00FC2FC2">
            <w:pPr>
              <w:shd w:val="clear" w:color="auto" w:fill="FFFFFF" w:themeFill="background1"/>
              <w:jc w:val="center"/>
            </w:pPr>
            <w:r w:rsidRPr="00F41519">
              <w:t>9</w:t>
            </w:r>
          </w:p>
        </w:tc>
        <w:tc>
          <w:tcPr>
            <w:tcW w:w="2126" w:type="dxa"/>
          </w:tcPr>
          <w:p w:rsidR="00E81497" w:rsidRPr="00F41519" w:rsidRDefault="00E81497" w:rsidP="00FC2FC2">
            <w:pPr>
              <w:shd w:val="clear" w:color="auto" w:fill="FFFFFF" w:themeFill="background1"/>
              <w:jc w:val="center"/>
            </w:pPr>
            <w:r w:rsidRPr="00F41519">
              <w:t>10</w:t>
            </w:r>
          </w:p>
        </w:tc>
        <w:tc>
          <w:tcPr>
            <w:tcW w:w="1984" w:type="dxa"/>
          </w:tcPr>
          <w:p w:rsidR="00E81497" w:rsidRPr="00F41519" w:rsidRDefault="00E81497" w:rsidP="00FC2FC2">
            <w:pPr>
              <w:shd w:val="clear" w:color="auto" w:fill="FFFFFF" w:themeFill="background1"/>
              <w:jc w:val="center"/>
            </w:pPr>
            <w:r w:rsidRPr="00F41519">
              <w:t>11</w:t>
            </w:r>
          </w:p>
        </w:tc>
      </w:tr>
      <w:tr w:rsidR="00F41519" w:rsidRPr="00F41519" w:rsidTr="00773C9F">
        <w:tc>
          <w:tcPr>
            <w:tcW w:w="2233" w:type="dxa"/>
          </w:tcPr>
          <w:p w:rsidR="00E81497" w:rsidRPr="00F41519" w:rsidRDefault="00E81497" w:rsidP="00FC2FC2">
            <w:pPr>
              <w:shd w:val="clear" w:color="auto" w:fill="FFFFFF" w:themeFill="background1"/>
              <w:jc w:val="center"/>
            </w:pPr>
            <w:r w:rsidRPr="00F41519">
              <w:t>Х</w:t>
            </w:r>
          </w:p>
        </w:tc>
        <w:tc>
          <w:tcPr>
            <w:tcW w:w="1590" w:type="dxa"/>
          </w:tcPr>
          <w:p w:rsidR="00E81497" w:rsidRPr="00F41519" w:rsidRDefault="00E81497" w:rsidP="00FC2FC2">
            <w:pPr>
              <w:shd w:val="clear" w:color="auto" w:fill="FFFFFF" w:themeFill="background1"/>
              <w:jc w:val="center"/>
            </w:pPr>
            <w:r w:rsidRPr="00F41519">
              <w:t>Х</w:t>
            </w:r>
          </w:p>
        </w:tc>
        <w:tc>
          <w:tcPr>
            <w:tcW w:w="1701" w:type="dxa"/>
          </w:tcPr>
          <w:p w:rsidR="00E81497" w:rsidRPr="00F41519" w:rsidRDefault="00E81497" w:rsidP="00FC2FC2">
            <w:pPr>
              <w:shd w:val="clear" w:color="auto" w:fill="FFFFFF" w:themeFill="background1"/>
              <w:jc w:val="center"/>
            </w:pPr>
            <w:r w:rsidRPr="00F41519">
              <w:t>Х</w:t>
            </w:r>
          </w:p>
        </w:tc>
        <w:tc>
          <w:tcPr>
            <w:tcW w:w="2126" w:type="dxa"/>
          </w:tcPr>
          <w:p w:rsidR="00E81497" w:rsidRPr="00F41519" w:rsidRDefault="00E81497" w:rsidP="00FC2FC2">
            <w:pPr>
              <w:shd w:val="clear" w:color="auto" w:fill="FFFFFF" w:themeFill="background1"/>
              <w:jc w:val="center"/>
            </w:pPr>
            <w:r w:rsidRPr="00F41519">
              <w:t>Х</w:t>
            </w:r>
          </w:p>
        </w:tc>
        <w:tc>
          <w:tcPr>
            <w:tcW w:w="1984" w:type="dxa"/>
          </w:tcPr>
          <w:p w:rsidR="00E81497" w:rsidRPr="00F41519" w:rsidRDefault="00E81497" w:rsidP="00FC2FC2">
            <w:pPr>
              <w:shd w:val="clear" w:color="auto" w:fill="FFFFFF" w:themeFill="background1"/>
              <w:jc w:val="center"/>
            </w:pPr>
            <w:r w:rsidRPr="00F41519">
              <w:t>Х</w:t>
            </w:r>
          </w:p>
        </w:tc>
      </w:tr>
      <w:tr w:rsidR="00F41519" w:rsidRPr="00F41519" w:rsidTr="00773C9F">
        <w:tc>
          <w:tcPr>
            <w:tcW w:w="2233" w:type="dxa"/>
          </w:tcPr>
          <w:p w:rsidR="00E81497" w:rsidRPr="00F41519" w:rsidRDefault="00E81497" w:rsidP="00FC2FC2">
            <w:pPr>
              <w:shd w:val="clear" w:color="auto" w:fill="FFFFFF" w:themeFill="background1"/>
              <w:jc w:val="center"/>
            </w:pPr>
          </w:p>
        </w:tc>
        <w:tc>
          <w:tcPr>
            <w:tcW w:w="1590" w:type="dxa"/>
          </w:tcPr>
          <w:p w:rsidR="00E81497" w:rsidRPr="00F41519" w:rsidRDefault="00E81497" w:rsidP="00FC2FC2">
            <w:pPr>
              <w:shd w:val="clear" w:color="auto" w:fill="FFFFFF" w:themeFill="background1"/>
              <w:jc w:val="center"/>
            </w:pPr>
          </w:p>
        </w:tc>
        <w:tc>
          <w:tcPr>
            <w:tcW w:w="1701" w:type="dxa"/>
          </w:tcPr>
          <w:p w:rsidR="00E81497" w:rsidRPr="00F41519" w:rsidRDefault="00E81497" w:rsidP="00FC2FC2">
            <w:pPr>
              <w:shd w:val="clear" w:color="auto" w:fill="FFFFFF" w:themeFill="background1"/>
              <w:jc w:val="center"/>
            </w:pPr>
          </w:p>
        </w:tc>
        <w:tc>
          <w:tcPr>
            <w:tcW w:w="2126" w:type="dxa"/>
          </w:tcPr>
          <w:p w:rsidR="00E81497" w:rsidRPr="00F41519" w:rsidRDefault="00E81497" w:rsidP="00FC2FC2">
            <w:pPr>
              <w:shd w:val="clear" w:color="auto" w:fill="FFFFFF" w:themeFill="background1"/>
              <w:jc w:val="center"/>
            </w:pPr>
          </w:p>
        </w:tc>
        <w:tc>
          <w:tcPr>
            <w:tcW w:w="1984" w:type="dxa"/>
          </w:tcPr>
          <w:p w:rsidR="00E81497" w:rsidRPr="00F41519" w:rsidRDefault="00E81497" w:rsidP="00FC2FC2">
            <w:pPr>
              <w:shd w:val="clear" w:color="auto" w:fill="FFFFFF" w:themeFill="background1"/>
              <w:jc w:val="center"/>
            </w:pPr>
          </w:p>
        </w:tc>
      </w:tr>
      <w:tr w:rsidR="00F41519" w:rsidRPr="00F41519" w:rsidTr="00773C9F">
        <w:tc>
          <w:tcPr>
            <w:tcW w:w="2233" w:type="dxa"/>
          </w:tcPr>
          <w:p w:rsidR="00E81497" w:rsidRPr="00F41519" w:rsidRDefault="00E81497" w:rsidP="00FC2FC2">
            <w:pPr>
              <w:shd w:val="clear" w:color="auto" w:fill="FFFFFF" w:themeFill="background1"/>
            </w:pPr>
          </w:p>
        </w:tc>
        <w:tc>
          <w:tcPr>
            <w:tcW w:w="1590" w:type="dxa"/>
          </w:tcPr>
          <w:p w:rsidR="00E81497" w:rsidRPr="00F41519" w:rsidRDefault="00E81497" w:rsidP="00FC2FC2">
            <w:pPr>
              <w:shd w:val="clear" w:color="auto" w:fill="FFFFFF" w:themeFill="background1"/>
            </w:pPr>
          </w:p>
        </w:tc>
        <w:tc>
          <w:tcPr>
            <w:tcW w:w="1701" w:type="dxa"/>
          </w:tcPr>
          <w:p w:rsidR="00E81497" w:rsidRPr="00F41519" w:rsidRDefault="00E81497" w:rsidP="00FC2FC2">
            <w:pPr>
              <w:shd w:val="clear" w:color="auto" w:fill="FFFFFF" w:themeFill="background1"/>
            </w:pPr>
          </w:p>
        </w:tc>
        <w:tc>
          <w:tcPr>
            <w:tcW w:w="2126" w:type="dxa"/>
          </w:tcPr>
          <w:p w:rsidR="00E81497" w:rsidRPr="00F41519" w:rsidRDefault="00E81497" w:rsidP="00FC2FC2">
            <w:pPr>
              <w:shd w:val="clear" w:color="auto" w:fill="FFFFFF" w:themeFill="background1"/>
              <w:jc w:val="center"/>
            </w:pPr>
          </w:p>
        </w:tc>
        <w:tc>
          <w:tcPr>
            <w:tcW w:w="1984" w:type="dxa"/>
          </w:tcPr>
          <w:p w:rsidR="00E81497" w:rsidRPr="00F41519" w:rsidRDefault="00E81497" w:rsidP="00FC2FC2">
            <w:pPr>
              <w:shd w:val="clear" w:color="auto" w:fill="FFFFFF" w:themeFill="background1"/>
              <w:jc w:val="center"/>
            </w:pPr>
          </w:p>
        </w:tc>
      </w:tr>
      <w:tr w:rsidR="00F41519" w:rsidRPr="00F41519" w:rsidTr="00773C9F">
        <w:tc>
          <w:tcPr>
            <w:tcW w:w="2233" w:type="dxa"/>
          </w:tcPr>
          <w:p w:rsidR="00E81497" w:rsidRPr="00F41519" w:rsidRDefault="00E81497" w:rsidP="00FC2FC2">
            <w:pPr>
              <w:shd w:val="clear" w:color="auto" w:fill="FFFFFF" w:themeFill="background1"/>
              <w:jc w:val="center"/>
            </w:pPr>
          </w:p>
        </w:tc>
        <w:tc>
          <w:tcPr>
            <w:tcW w:w="1590" w:type="dxa"/>
          </w:tcPr>
          <w:p w:rsidR="00E81497" w:rsidRPr="00F41519" w:rsidRDefault="00E81497" w:rsidP="00FC2FC2">
            <w:pPr>
              <w:shd w:val="clear" w:color="auto" w:fill="FFFFFF" w:themeFill="background1"/>
              <w:jc w:val="center"/>
            </w:pPr>
          </w:p>
        </w:tc>
        <w:tc>
          <w:tcPr>
            <w:tcW w:w="1701" w:type="dxa"/>
          </w:tcPr>
          <w:p w:rsidR="00E81497" w:rsidRPr="00F41519" w:rsidRDefault="00E81497" w:rsidP="00FC2FC2">
            <w:pPr>
              <w:shd w:val="clear" w:color="auto" w:fill="FFFFFF" w:themeFill="background1"/>
              <w:jc w:val="center"/>
            </w:pPr>
          </w:p>
        </w:tc>
        <w:tc>
          <w:tcPr>
            <w:tcW w:w="2126" w:type="dxa"/>
          </w:tcPr>
          <w:p w:rsidR="00E81497" w:rsidRPr="00F41519" w:rsidRDefault="00E81497" w:rsidP="00FC2FC2">
            <w:pPr>
              <w:shd w:val="clear" w:color="auto" w:fill="FFFFFF" w:themeFill="background1"/>
              <w:jc w:val="center"/>
            </w:pPr>
          </w:p>
        </w:tc>
        <w:tc>
          <w:tcPr>
            <w:tcW w:w="1984" w:type="dxa"/>
          </w:tcPr>
          <w:p w:rsidR="00E81497" w:rsidRPr="00F41519" w:rsidRDefault="00E81497" w:rsidP="00FC2FC2">
            <w:pPr>
              <w:shd w:val="clear" w:color="auto" w:fill="FFFFFF" w:themeFill="background1"/>
              <w:jc w:val="center"/>
            </w:pPr>
          </w:p>
        </w:tc>
      </w:tr>
      <w:tr w:rsidR="00F41519" w:rsidRPr="00F41519" w:rsidTr="00773C9F">
        <w:tc>
          <w:tcPr>
            <w:tcW w:w="2233" w:type="dxa"/>
          </w:tcPr>
          <w:p w:rsidR="00E81497" w:rsidRPr="00F41519" w:rsidRDefault="00E81497" w:rsidP="00FC2FC2">
            <w:pPr>
              <w:shd w:val="clear" w:color="auto" w:fill="FFFFFF" w:themeFill="background1"/>
            </w:pPr>
          </w:p>
        </w:tc>
        <w:tc>
          <w:tcPr>
            <w:tcW w:w="1590" w:type="dxa"/>
          </w:tcPr>
          <w:p w:rsidR="00E81497" w:rsidRPr="00F41519" w:rsidRDefault="00E81497" w:rsidP="00FC2FC2">
            <w:pPr>
              <w:shd w:val="clear" w:color="auto" w:fill="FFFFFF" w:themeFill="background1"/>
            </w:pPr>
          </w:p>
        </w:tc>
        <w:tc>
          <w:tcPr>
            <w:tcW w:w="1701" w:type="dxa"/>
          </w:tcPr>
          <w:p w:rsidR="00E81497" w:rsidRPr="00F41519" w:rsidRDefault="00E81497" w:rsidP="00FC2FC2">
            <w:pPr>
              <w:shd w:val="clear" w:color="auto" w:fill="FFFFFF" w:themeFill="background1"/>
            </w:pPr>
          </w:p>
        </w:tc>
        <w:tc>
          <w:tcPr>
            <w:tcW w:w="2126" w:type="dxa"/>
          </w:tcPr>
          <w:p w:rsidR="00E81497" w:rsidRPr="00F41519" w:rsidRDefault="00E81497" w:rsidP="00FC2FC2">
            <w:pPr>
              <w:shd w:val="clear" w:color="auto" w:fill="FFFFFF" w:themeFill="background1"/>
              <w:jc w:val="center"/>
            </w:pPr>
          </w:p>
        </w:tc>
        <w:tc>
          <w:tcPr>
            <w:tcW w:w="1984" w:type="dxa"/>
          </w:tcPr>
          <w:p w:rsidR="00E81497" w:rsidRPr="00F41519" w:rsidRDefault="00E81497" w:rsidP="00FC2FC2">
            <w:pPr>
              <w:shd w:val="clear" w:color="auto" w:fill="FFFFFF" w:themeFill="background1"/>
              <w:jc w:val="center"/>
            </w:pPr>
          </w:p>
        </w:tc>
      </w:tr>
      <w:tr w:rsidR="00F41519" w:rsidRPr="00F41519" w:rsidTr="00773C9F">
        <w:tc>
          <w:tcPr>
            <w:tcW w:w="2233" w:type="dxa"/>
          </w:tcPr>
          <w:p w:rsidR="00E81497" w:rsidRPr="00F41519" w:rsidRDefault="00E81497" w:rsidP="00FC2FC2">
            <w:pPr>
              <w:shd w:val="clear" w:color="auto" w:fill="FFFFFF" w:themeFill="background1"/>
              <w:jc w:val="center"/>
            </w:pPr>
          </w:p>
        </w:tc>
        <w:tc>
          <w:tcPr>
            <w:tcW w:w="1590" w:type="dxa"/>
          </w:tcPr>
          <w:p w:rsidR="00E81497" w:rsidRPr="00F41519" w:rsidRDefault="00E81497" w:rsidP="00FC2FC2">
            <w:pPr>
              <w:shd w:val="clear" w:color="auto" w:fill="FFFFFF" w:themeFill="background1"/>
              <w:jc w:val="center"/>
            </w:pPr>
          </w:p>
        </w:tc>
        <w:tc>
          <w:tcPr>
            <w:tcW w:w="1701" w:type="dxa"/>
          </w:tcPr>
          <w:p w:rsidR="00E81497" w:rsidRPr="00F41519" w:rsidRDefault="00E81497" w:rsidP="00FC2FC2">
            <w:pPr>
              <w:shd w:val="clear" w:color="auto" w:fill="FFFFFF" w:themeFill="background1"/>
              <w:jc w:val="center"/>
            </w:pPr>
          </w:p>
        </w:tc>
        <w:tc>
          <w:tcPr>
            <w:tcW w:w="2126" w:type="dxa"/>
          </w:tcPr>
          <w:p w:rsidR="00E81497" w:rsidRPr="00F41519" w:rsidRDefault="00E81497" w:rsidP="00FC2FC2">
            <w:pPr>
              <w:shd w:val="clear" w:color="auto" w:fill="FFFFFF" w:themeFill="background1"/>
              <w:jc w:val="center"/>
            </w:pPr>
          </w:p>
        </w:tc>
        <w:tc>
          <w:tcPr>
            <w:tcW w:w="1984" w:type="dxa"/>
          </w:tcPr>
          <w:p w:rsidR="00E81497" w:rsidRPr="00F41519" w:rsidRDefault="00E81497" w:rsidP="00FC2FC2">
            <w:pPr>
              <w:shd w:val="clear" w:color="auto" w:fill="FFFFFF" w:themeFill="background1"/>
              <w:jc w:val="center"/>
            </w:pPr>
          </w:p>
        </w:tc>
      </w:tr>
      <w:tr w:rsidR="00E81497" w:rsidRPr="00F41519" w:rsidTr="00773C9F">
        <w:tc>
          <w:tcPr>
            <w:tcW w:w="2233" w:type="dxa"/>
          </w:tcPr>
          <w:p w:rsidR="00E81497" w:rsidRPr="00F41519" w:rsidRDefault="00E81497" w:rsidP="00FC2FC2">
            <w:pPr>
              <w:shd w:val="clear" w:color="auto" w:fill="FFFFFF" w:themeFill="background1"/>
            </w:pPr>
          </w:p>
        </w:tc>
        <w:tc>
          <w:tcPr>
            <w:tcW w:w="1590" w:type="dxa"/>
          </w:tcPr>
          <w:p w:rsidR="00E81497" w:rsidRPr="00F41519" w:rsidRDefault="00E81497" w:rsidP="00FC2FC2">
            <w:pPr>
              <w:shd w:val="clear" w:color="auto" w:fill="FFFFFF" w:themeFill="background1"/>
            </w:pPr>
          </w:p>
        </w:tc>
        <w:tc>
          <w:tcPr>
            <w:tcW w:w="1701" w:type="dxa"/>
          </w:tcPr>
          <w:p w:rsidR="00E81497" w:rsidRPr="00F41519" w:rsidRDefault="00E81497" w:rsidP="00FC2FC2">
            <w:pPr>
              <w:shd w:val="clear" w:color="auto" w:fill="FFFFFF" w:themeFill="background1"/>
            </w:pPr>
          </w:p>
        </w:tc>
        <w:tc>
          <w:tcPr>
            <w:tcW w:w="2126" w:type="dxa"/>
          </w:tcPr>
          <w:p w:rsidR="00E81497" w:rsidRPr="00F41519" w:rsidRDefault="00E81497" w:rsidP="00FC2FC2">
            <w:pPr>
              <w:shd w:val="clear" w:color="auto" w:fill="FFFFFF" w:themeFill="background1"/>
              <w:jc w:val="center"/>
            </w:pPr>
          </w:p>
        </w:tc>
        <w:tc>
          <w:tcPr>
            <w:tcW w:w="1984" w:type="dxa"/>
          </w:tcPr>
          <w:p w:rsidR="00E81497" w:rsidRPr="00F41519" w:rsidRDefault="00E81497" w:rsidP="00FC2FC2">
            <w:pPr>
              <w:shd w:val="clear" w:color="auto" w:fill="FFFFFF" w:themeFill="background1"/>
              <w:jc w:val="center"/>
            </w:pPr>
          </w:p>
        </w:tc>
      </w:tr>
    </w:tbl>
    <w:p w:rsidR="00E81497" w:rsidRPr="00F41519" w:rsidRDefault="00E81497" w:rsidP="00FC2FC2">
      <w:pPr>
        <w:shd w:val="clear" w:color="auto" w:fill="FFFFFF" w:themeFill="background1"/>
        <w:tabs>
          <w:tab w:val="left" w:pos="720"/>
        </w:tabs>
        <w:ind w:right="709" w:firstLine="567"/>
        <w:jc w:val="center"/>
      </w:pPr>
    </w:p>
    <w:p w:rsidR="00E81497" w:rsidRPr="00F41519" w:rsidRDefault="009F21DD" w:rsidP="009B5713">
      <w:pPr>
        <w:shd w:val="clear" w:color="auto" w:fill="FFFFFF" w:themeFill="background1"/>
        <w:ind w:firstLine="567"/>
      </w:pPr>
      <w:r w:rsidRPr="00F41519">
        <w:t xml:space="preserve">10. </w:t>
      </w:r>
      <w:r w:rsidR="00E81497" w:rsidRPr="00F41519">
        <w:t>Пояснення щодо заповнення форми</w:t>
      </w:r>
      <w:r w:rsidRPr="00F41519">
        <w:t xml:space="preserve"> </w:t>
      </w:r>
      <w:r w:rsidR="00E81497" w:rsidRPr="00F41519">
        <w:t>плану капіталізації/</w:t>
      </w:r>
      <w:r w:rsidR="00C465C1" w:rsidRPr="00F41519">
        <w:t xml:space="preserve"> </w:t>
      </w:r>
      <w:r w:rsidR="00E81497" w:rsidRPr="00F41519">
        <w:t>реструктуризації</w:t>
      </w:r>
      <w:r w:rsidRPr="00F41519">
        <w:t>:</w:t>
      </w:r>
    </w:p>
    <w:p w:rsidR="00E81497" w:rsidRPr="00F41519" w:rsidRDefault="00E81497" w:rsidP="009B5713">
      <w:pPr>
        <w:shd w:val="clear" w:color="auto" w:fill="FFFFFF" w:themeFill="background1"/>
        <w:ind w:firstLine="567"/>
      </w:pPr>
    </w:p>
    <w:p w:rsidR="00E81497" w:rsidRPr="00F41519" w:rsidRDefault="00E81497" w:rsidP="009B5713">
      <w:pPr>
        <w:shd w:val="clear" w:color="auto" w:fill="FFFFFF" w:themeFill="background1"/>
        <w:ind w:firstLine="567"/>
      </w:pPr>
      <w:r w:rsidRPr="00F41519">
        <w:t>1</w:t>
      </w:r>
      <w:r w:rsidR="009F21DD" w:rsidRPr="00F41519">
        <w:t>)</w:t>
      </w:r>
      <w:r w:rsidRPr="00F41519">
        <w:t xml:space="preserve"> </w:t>
      </w:r>
      <w:r w:rsidR="009F21DD" w:rsidRPr="00F41519">
        <w:t>п</w:t>
      </w:r>
      <w:r w:rsidRPr="00F41519">
        <w:t>лан капіталізації/реструктуризації має містити джерела збільшення капіталу, визначені банком у програмі капіталізації/реструктуризації</w:t>
      </w:r>
      <w:r w:rsidR="007A305D">
        <w:t>,</w:t>
      </w:r>
      <w:r w:rsidRPr="00F41519">
        <w:t xml:space="preserve"> та </w:t>
      </w:r>
      <w:r w:rsidR="00BC47C9" w:rsidRPr="00F41519">
        <w:t xml:space="preserve">планові </w:t>
      </w:r>
      <w:r w:rsidRPr="00F41519">
        <w:t>показники діяльності банку на період дії програми капіталізації/</w:t>
      </w:r>
      <w:r w:rsidR="00986A5C" w:rsidRPr="00F41519">
        <w:t xml:space="preserve"> </w:t>
      </w:r>
      <w:r w:rsidRPr="00F41519">
        <w:t>реструктуризації</w:t>
      </w:r>
      <w:r w:rsidR="00030FD8" w:rsidRPr="00F41519">
        <w:t>;</w:t>
      </w:r>
    </w:p>
    <w:p w:rsidR="00E81497" w:rsidRPr="00F41519" w:rsidRDefault="00E81497" w:rsidP="009B5713">
      <w:pPr>
        <w:shd w:val="clear" w:color="auto" w:fill="FFFFFF" w:themeFill="background1"/>
        <w:ind w:firstLine="567"/>
      </w:pPr>
    </w:p>
    <w:p w:rsidR="00E81497" w:rsidRPr="00F41519" w:rsidRDefault="00C465C1" w:rsidP="009B5713">
      <w:pPr>
        <w:shd w:val="clear" w:color="auto" w:fill="FFFFFF" w:themeFill="background1"/>
        <w:ind w:firstLine="567"/>
      </w:pPr>
      <w:r w:rsidRPr="00F41519">
        <w:t>2)</w:t>
      </w:r>
      <w:r w:rsidR="00E81497" w:rsidRPr="00F41519">
        <w:t xml:space="preserve"> </w:t>
      </w:r>
      <w:r w:rsidRPr="00F41519">
        <w:t>о</w:t>
      </w:r>
      <w:r w:rsidR="00E81497" w:rsidRPr="00F41519">
        <w:t>пис параметрів заповнення колонок форми:</w:t>
      </w:r>
    </w:p>
    <w:p w:rsidR="00E81497" w:rsidRPr="00F41519" w:rsidRDefault="00E81497" w:rsidP="009B5713">
      <w:pPr>
        <w:shd w:val="clear" w:color="auto" w:fill="FFFFFF" w:themeFill="background1"/>
        <w:ind w:firstLine="567"/>
      </w:pPr>
      <w:r w:rsidRPr="00F41519">
        <w:rPr>
          <w:lang w:eastAsia="ru-RU"/>
        </w:rPr>
        <w:t>колонка 2 – зазначаються дати в межах поточного року</w:t>
      </w:r>
      <w:r w:rsidRPr="00F41519">
        <w:t>;</w:t>
      </w:r>
    </w:p>
    <w:p w:rsidR="00E81497" w:rsidRPr="00F41519" w:rsidRDefault="00E81497" w:rsidP="009B5713">
      <w:pPr>
        <w:pStyle w:val="af3"/>
        <w:shd w:val="clear" w:color="auto" w:fill="FFFFFF" w:themeFill="background1"/>
        <w:ind w:left="0" w:firstLine="567"/>
      </w:pPr>
      <w:r w:rsidRPr="00F41519">
        <w:t xml:space="preserve">колонки 3 і 4 – для рядків 3 – n-2 зазначаються значення нормативу Н2/нормативу Н3, яких планується досягти станом на визначену дату; </w:t>
      </w:r>
    </w:p>
    <w:p w:rsidR="00E81497" w:rsidRPr="00F41519" w:rsidRDefault="00E81497" w:rsidP="009B5713">
      <w:pPr>
        <w:shd w:val="clear" w:color="auto" w:fill="FFFFFF" w:themeFill="background1"/>
        <w:ind w:firstLine="567"/>
      </w:pPr>
      <w:r w:rsidRPr="00F41519">
        <w:t xml:space="preserve">колонка 5 – зазначається сума РК, розрахована за </w:t>
      </w:r>
      <w:r w:rsidR="007A305D">
        <w:t xml:space="preserve">такою </w:t>
      </w:r>
      <w:r w:rsidRPr="00F41519">
        <w:t>формулою:</w:t>
      </w:r>
    </w:p>
    <w:p w:rsidR="00E81497" w:rsidRPr="00F41519" w:rsidRDefault="00E81497" w:rsidP="009B5713">
      <w:pPr>
        <w:shd w:val="clear" w:color="auto" w:fill="FFFFFF" w:themeFill="background1"/>
        <w:ind w:firstLine="567"/>
      </w:pPr>
    </w:p>
    <w:p w:rsidR="00E81497" w:rsidRPr="00F41519" w:rsidRDefault="00E81497" w:rsidP="00FC2FC2">
      <w:pPr>
        <w:shd w:val="clear" w:color="auto" w:fill="FFFFFF" w:themeFill="background1"/>
        <w:tabs>
          <w:tab w:val="left" w:pos="426"/>
          <w:tab w:val="left" w:pos="993"/>
        </w:tabs>
        <w:jc w:val="center"/>
        <w:rPr>
          <w:rFonts w:eastAsiaTheme="minorEastAsia"/>
        </w:rPr>
      </w:pPr>
      <w:bookmarkStart w:id="9" w:name="_Hlk117275322"/>
      <m:oMath>
        <m:r>
          <w:rPr>
            <w:rFonts w:ascii="Cambria Math" w:hAnsi="Cambria Math"/>
          </w:rPr>
          <m:t xml:space="preserve">РК= </m:t>
        </m:r>
        <m:f>
          <m:fPr>
            <m:ctrlPr>
              <w:rPr>
                <w:rFonts w:ascii="Cambria Math" w:hAnsi="Cambria Math"/>
                <w:i/>
              </w:rPr>
            </m:ctrlPr>
          </m:fPr>
          <m:num>
            <m:r>
              <w:rPr>
                <w:rFonts w:ascii="Cambria Math" w:hAnsi="Cambria Math"/>
              </w:rPr>
              <m:t xml:space="preserve">Н2 </m:t>
            </m:r>
            <m:r>
              <m:rPr>
                <m:sty m:val="bi"/>
              </m:rPr>
              <w:rPr>
                <w:rFonts w:ascii="Cambria Math" w:hAnsi="Cambria Math"/>
                <w:b/>
                <w:i/>
              </w:rPr>
              <w:sym w:font="Symbol" w:char="F0D7"/>
            </m:r>
            <m:r>
              <w:rPr>
                <w:rFonts w:ascii="Cambria Math" w:hAnsi="Cambria Math"/>
              </w:rPr>
              <m:t xml:space="preserve"> (Ар+Свп+ОР</m:t>
            </m:r>
            <m:r>
              <m:rPr>
                <m:sty m:val="bi"/>
              </m:rPr>
              <w:rPr>
                <w:rFonts w:ascii="Cambria Math" w:hAnsi="Cambria Math"/>
                <w:b/>
                <w:i/>
              </w:rPr>
              <w:sym w:font="Symbol" w:char="F0D7"/>
            </m:r>
            <m:r>
              <w:rPr>
                <w:rFonts w:ascii="Cambria Math" w:hAnsi="Cambria Math"/>
              </w:rPr>
              <m:t xml:space="preserve"> 10-НКР)</m:t>
            </m:r>
          </m:num>
          <m:den>
            <m:r>
              <w:rPr>
                <w:rFonts w:ascii="Cambria Math" w:hAnsi="Cambria Math"/>
              </w:rPr>
              <m:t>100%</m:t>
            </m:r>
          </m:den>
        </m:f>
      </m:oMath>
      <w:bookmarkEnd w:id="9"/>
      <w:r w:rsidRPr="00F41519">
        <w:rPr>
          <w:rFonts w:eastAsiaTheme="minorEastAsia"/>
        </w:rPr>
        <w:t>,</w:t>
      </w:r>
    </w:p>
    <w:p w:rsidR="00E81497" w:rsidRPr="00F41519" w:rsidRDefault="00E81497" w:rsidP="00FC2FC2">
      <w:pPr>
        <w:shd w:val="clear" w:color="auto" w:fill="FFFFFF" w:themeFill="background1"/>
        <w:tabs>
          <w:tab w:val="left" w:pos="426"/>
          <w:tab w:val="left" w:pos="993"/>
        </w:tabs>
        <w:ind w:firstLine="814"/>
        <w:rPr>
          <w:rFonts w:eastAsiaTheme="minorEastAsia"/>
        </w:rPr>
      </w:pPr>
    </w:p>
    <w:p w:rsidR="00E81497" w:rsidRPr="00F41519" w:rsidRDefault="00E81497" w:rsidP="007A305D">
      <w:pPr>
        <w:shd w:val="clear" w:color="auto" w:fill="FFFFFF" w:themeFill="background1"/>
        <w:tabs>
          <w:tab w:val="left" w:pos="993"/>
        </w:tabs>
      </w:pPr>
      <w:r w:rsidRPr="00F41519">
        <w:rPr>
          <w:rFonts w:eastAsiaTheme="minorEastAsia"/>
        </w:rPr>
        <w:t xml:space="preserve">де   </w:t>
      </w:r>
      <w:r w:rsidRPr="00F41519">
        <w:t xml:space="preserve">Ар, </w:t>
      </w:r>
      <w:proofErr w:type="spellStart"/>
      <w:r w:rsidRPr="00F41519">
        <w:t>Свп</w:t>
      </w:r>
      <w:proofErr w:type="spellEnd"/>
      <w:r w:rsidRPr="00F41519">
        <w:t xml:space="preserve">, ОР, НКР використовуються в значеннях, визначених розпорядчим актом Національного банку з питань розрахунку економічних нормативів, станом на визначену дату; </w:t>
      </w:r>
    </w:p>
    <w:p w:rsidR="00E81497" w:rsidRPr="00F41519" w:rsidRDefault="00E81497" w:rsidP="009B5713">
      <w:pPr>
        <w:shd w:val="clear" w:color="auto" w:fill="FFFFFF" w:themeFill="background1"/>
        <w:tabs>
          <w:tab w:val="left" w:pos="426"/>
          <w:tab w:val="left" w:pos="993"/>
        </w:tabs>
        <w:ind w:firstLine="567"/>
      </w:pPr>
      <w:r w:rsidRPr="00F41519">
        <w:t>Н2 – значення нормативу, якого планується досягти станом на визначену дату;</w:t>
      </w:r>
    </w:p>
    <w:p w:rsidR="00E81497" w:rsidRPr="00F41519" w:rsidRDefault="00E81497" w:rsidP="009B5713">
      <w:pPr>
        <w:shd w:val="clear" w:color="auto" w:fill="FFFFFF" w:themeFill="background1"/>
        <w:tabs>
          <w:tab w:val="left" w:pos="426"/>
          <w:tab w:val="left" w:pos="993"/>
        </w:tabs>
        <w:ind w:firstLine="567"/>
      </w:pPr>
      <w:r w:rsidRPr="00F41519">
        <w:t xml:space="preserve">колонка 6 – зазначається сума ОК, розрахована за </w:t>
      </w:r>
      <w:r w:rsidR="007A305D">
        <w:t xml:space="preserve">такою </w:t>
      </w:r>
      <w:r w:rsidRPr="00F41519">
        <w:t>формулою:</w:t>
      </w:r>
    </w:p>
    <w:p w:rsidR="00E81497" w:rsidRPr="00F41519" w:rsidRDefault="00E81497" w:rsidP="009B5713">
      <w:pPr>
        <w:shd w:val="clear" w:color="auto" w:fill="FFFFFF" w:themeFill="background1"/>
        <w:tabs>
          <w:tab w:val="left" w:pos="426"/>
          <w:tab w:val="left" w:pos="993"/>
        </w:tabs>
        <w:ind w:firstLine="567"/>
      </w:pPr>
    </w:p>
    <w:p w:rsidR="00E81497" w:rsidRPr="00F41519" w:rsidRDefault="00E81497" w:rsidP="00FC2FC2">
      <w:pPr>
        <w:shd w:val="clear" w:color="auto" w:fill="FFFFFF" w:themeFill="background1"/>
        <w:tabs>
          <w:tab w:val="left" w:pos="426"/>
          <w:tab w:val="left" w:pos="993"/>
        </w:tabs>
        <w:jc w:val="center"/>
      </w:pPr>
      <m:oMath>
        <m:r>
          <w:rPr>
            <w:rFonts w:ascii="Cambria Math" w:hAnsi="Cambria Math"/>
          </w:rPr>
          <m:t xml:space="preserve">ОК= </m:t>
        </m:r>
        <m:f>
          <m:fPr>
            <m:ctrlPr>
              <w:rPr>
                <w:rFonts w:ascii="Cambria Math" w:hAnsi="Cambria Math"/>
                <w:i/>
              </w:rPr>
            </m:ctrlPr>
          </m:fPr>
          <m:num>
            <m:r>
              <w:rPr>
                <w:rFonts w:ascii="Cambria Math" w:hAnsi="Cambria Math"/>
              </w:rPr>
              <m:t xml:space="preserve">Н3 </m:t>
            </m:r>
            <m:r>
              <w:rPr>
                <w:rFonts w:ascii="Cambria Math" w:hAnsi="Cambria Math"/>
                <w:i/>
              </w:rPr>
              <w:sym w:font="Symbol" w:char="F0D7"/>
            </m:r>
            <m:r>
              <w:rPr>
                <w:rFonts w:ascii="Cambria Math" w:hAnsi="Cambria Math"/>
              </w:rPr>
              <m:t xml:space="preserve"> (Ар+Свп+ОР</m:t>
            </m:r>
            <m:r>
              <w:rPr>
                <w:rFonts w:ascii="Cambria Math" w:hAnsi="Cambria Math"/>
                <w:i/>
              </w:rPr>
              <w:sym w:font="Symbol" w:char="F0D7"/>
            </m:r>
            <m:r>
              <w:rPr>
                <w:rFonts w:ascii="Cambria Math" w:hAnsi="Cambria Math"/>
              </w:rPr>
              <m:t xml:space="preserve"> 10-НКР)</m:t>
            </m:r>
          </m:num>
          <m:den>
            <m:r>
              <w:rPr>
                <w:rFonts w:ascii="Cambria Math" w:hAnsi="Cambria Math"/>
              </w:rPr>
              <m:t>100%</m:t>
            </m:r>
          </m:den>
        </m:f>
      </m:oMath>
      <w:r w:rsidRPr="00F41519">
        <w:t>,</w:t>
      </w:r>
    </w:p>
    <w:p w:rsidR="00E81497" w:rsidRPr="009B5713" w:rsidRDefault="00E81497" w:rsidP="009B5713">
      <w:pPr>
        <w:shd w:val="clear" w:color="auto" w:fill="FFFFFF" w:themeFill="background1"/>
        <w:tabs>
          <w:tab w:val="left" w:pos="426"/>
          <w:tab w:val="left" w:pos="993"/>
        </w:tabs>
        <w:ind w:firstLine="567"/>
      </w:pPr>
    </w:p>
    <w:p w:rsidR="00E81497" w:rsidRPr="009B5713" w:rsidRDefault="00E81497" w:rsidP="00727FEE">
      <w:pPr>
        <w:shd w:val="clear" w:color="auto" w:fill="FFFFFF" w:themeFill="background1"/>
        <w:tabs>
          <w:tab w:val="left" w:pos="426"/>
          <w:tab w:val="left" w:pos="993"/>
        </w:tabs>
      </w:pPr>
      <w:r w:rsidRPr="009B5713">
        <w:rPr>
          <w:lang w:eastAsia="ru-RU"/>
        </w:rPr>
        <w:t xml:space="preserve">де </w:t>
      </w:r>
      <w:r w:rsidR="00727FEE">
        <w:rPr>
          <w:lang w:eastAsia="ru-RU"/>
        </w:rPr>
        <w:t xml:space="preserve">  </w:t>
      </w:r>
      <w:r w:rsidRPr="009B5713">
        <w:rPr>
          <w:lang w:eastAsia="ru-RU"/>
        </w:rPr>
        <w:t xml:space="preserve">Н3 </w:t>
      </w:r>
      <w:r w:rsidRPr="009B5713">
        <w:t>– значення нормативу, якого планується досягти станом на визначену дату;</w:t>
      </w:r>
    </w:p>
    <w:p w:rsidR="00E81497" w:rsidRPr="009B5713" w:rsidRDefault="00E81497" w:rsidP="009B5713">
      <w:pPr>
        <w:shd w:val="clear" w:color="auto" w:fill="FFFFFF" w:themeFill="background1"/>
        <w:tabs>
          <w:tab w:val="left" w:pos="426"/>
          <w:tab w:val="left" w:pos="993"/>
        </w:tabs>
        <w:ind w:firstLine="567"/>
      </w:pPr>
      <w:r w:rsidRPr="009B5713">
        <w:rPr>
          <w:lang w:eastAsia="ru-RU"/>
        </w:rPr>
        <w:lastRenderedPageBreak/>
        <w:t xml:space="preserve">колонка 7 – зазначаються джерела збільшення РК/ОК </w:t>
      </w:r>
      <w:r w:rsidRPr="009B5713">
        <w:t xml:space="preserve">та складові зменшення </w:t>
      </w:r>
      <w:r w:rsidRPr="009B5713">
        <w:rPr>
          <w:lang w:eastAsia="ru-RU"/>
        </w:rPr>
        <w:t>РК/ОК (у</w:t>
      </w:r>
      <w:r w:rsidRPr="009B5713">
        <w:t xml:space="preserve"> дужках зазначається відповідний балансовий рахунок);</w:t>
      </w:r>
    </w:p>
    <w:p w:rsidR="00E81497" w:rsidRPr="009B5713" w:rsidRDefault="00E81497" w:rsidP="009B5713">
      <w:pPr>
        <w:shd w:val="clear" w:color="auto" w:fill="FFFFFF" w:themeFill="background1"/>
        <w:tabs>
          <w:tab w:val="left" w:pos="426"/>
          <w:tab w:val="left" w:pos="993"/>
        </w:tabs>
        <w:ind w:firstLine="567"/>
      </w:pPr>
      <w:r w:rsidRPr="009B5713">
        <w:rPr>
          <w:lang w:eastAsia="ru-RU"/>
        </w:rPr>
        <w:t xml:space="preserve">колонки 8 і 9 – зазначається сума збільшення/зменшення РК/ОК, визначена як різниця між сумою РК/ОК на поточну та попередню </w:t>
      </w:r>
      <w:r w:rsidR="007A305D" w:rsidRPr="009B5713">
        <w:rPr>
          <w:lang w:eastAsia="ru-RU"/>
        </w:rPr>
        <w:t>дати</w:t>
      </w:r>
      <w:r w:rsidRPr="009B5713">
        <w:t>;</w:t>
      </w:r>
    </w:p>
    <w:p w:rsidR="00E81497" w:rsidRPr="009B5713" w:rsidRDefault="00E81497" w:rsidP="009B5713">
      <w:pPr>
        <w:shd w:val="clear" w:color="auto" w:fill="FFFFFF" w:themeFill="background1"/>
        <w:tabs>
          <w:tab w:val="left" w:pos="426"/>
          <w:tab w:val="left" w:pos="993"/>
        </w:tabs>
        <w:ind w:firstLine="567"/>
      </w:pPr>
      <w:r w:rsidRPr="009B5713">
        <w:rPr>
          <w:lang w:eastAsia="ru-RU"/>
        </w:rPr>
        <w:t xml:space="preserve">колонка 10 – зазначаються заходи з реструктуризації щодо </w:t>
      </w:r>
      <w:r w:rsidRPr="009B5713">
        <w:t>збільшення/зменшення активів банку;</w:t>
      </w:r>
    </w:p>
    <w:p w:rsidR="00E81497" w:rsidRPr="009B5713" w:rsidRDefault="00E81497" w:rsidP="009B5713">
      <w:pPr>
        <w:shd w:val="clear" w:color="auto" w:fill="FFFFFF" w:themeFill="background1"/>
        <w:tabs>
          <w:tab w:val="left" w:pos="426"/>
          <w:tab w:val="left" w:pos="993"/>
        </w:tabs>
        <w:ind w:firstLine="567"/>
        <w:rPr>
          <w:lang w:eastAsia="ru-RU"/>
        </w:rPr>
      </w:pPr>
      <w:r w:rsidRPr="009B5713">
        <w:rPr>
          <w:lang w:eastAsia="ru-RU"/>
        </w:rPr>
        <w:t>колонка 11 – зазначається сума збільшення/зменшення активів банку в результаті реалізації заходів з</w:t>
      </w:r>
      <w:r w:rsidR="005D2ECC" w:rsidRPr="009B5713">
        <w:rPr>
          <w:lang w:eastAsia="ru-RU"/>
        </w:rPr>
        <w:t xml:space="preserve"> реструктуризації активів банку;</w:t>
      </w:r>
    </w:p>
    <w:p w:rsidR="00E81497" w:rsidRPr="009B5713" w:rsidRDefault="00E81497" w:rsidP="009B5713">
      <w:pPr>
        <w:shd w:val="clear" w:color="auto" w:fill="FFFFFF" w:themeFill="background1"/>
        <w:tabs>
          <w:tab w:val="left" w:pos="426"/>
          <w:tab w:val="left" w:pos="993"/>
        </w:tabs>
        <w:ind w:firstLine="567"/>
        <w:rPr>
          <w:lang w:eastAsia="ru-RU"/>
        </w:rPr>
      </w:pPr>
    </w:p>
    <w:p w:rsidR="00E81497" w:rsidRPr="009B5713" w:rsidRDefault="00E81497" w:rsidP="009B5713">
      <w:pPr>
        <w:shd w:val="clear" w:color="auto" w:fill="FFFFFF" w:themeFill="background1"/>
        <w:ind w:firstLine="567"/>
      </w:pPr>
      <w:r w:rsidRPr="009B5713">
        <w:t>3</w:t>
      </w:r>
      <w:r w:rsidR="0051334A" w:rsidRPr="009B5713">
        <w:t>)</w:t>
      </w:r>
      <w:r w:rsidRPr="009B5713">
        <w:t xml:space="preserve"> </w:t>
      </w:r>
      <w:r w:rsidR="0051334A" w:rsidRPr="009B5713">
        <w:t>о</w:t>
      </w:r>
      <w:r w:rsidRPr="009B5713">
        <w:t>пис параметрів заповнення рядків форми:</w:t>
      </w:r>
    </w:p>
    <w:p w:rsidR="00E81497" w:rsidRPr="009B5713" w:rsidRDefault="00E81497" w:rsidP="009B5713">
      <w:pPr>
        <w:pStyle w:val="af3"/>
        <w:shd w:val="clear" w:color="auto" w:fill="FFFFFF" w:themeFill="background1"/>
        <w:tabs>
          <w:tab w:val="left" w:pos="709"/>
          <w:tab w:val="left" w:pos="993"/>
        </w:tabs>
        <w:ind w:left="0" w:firstLine="567"/>
      </w:pPr>
      <w:r w:rsidRPr="009B5713">
        <w:t xml:space="preserve">рядок 1 – зазначаються дані, визначені за результатами оцінки стійкості;  </w:t>
      </w:r>
    </w:p>
    <w:p w:rsidR="00E81497" w:rsidRPr="009B5713" w:rsidRDefault="00E81497" w:rsidP="009B5713">
      <w:pPr>
        <w:pStyle w:val="af3"/>
        <w:shd w:val="clear" w:color="auto" w:fill="FFFFFF" w:themeFill="background1"/>
        <w:tabs>
          <w:tab w:val="left" w:pos="993"/>
        </w:tabs>
        <w:ind w:left="0" w:firstLine="567"/>
      </w:pPr>
      <w:r w:rsidRPr="009B5713">
        <w:t>рядок 2 – зазначаються дані, визначені за результатами оцінки стійкості з урахуванням упроваджених банком заходів та/або фактичних подій, що відбулися після звітної дати до дати подання банком програми капіталізації</w:t>
      </w:r>
      <w:r w:rsidRPr="009B5713">
        <w:rPr>
          <w:b/>
        </w:rPr>
        <w:t>/</w:t>
      </w:r>
      <w:r w:rsidRPr="009B5713">
        <w:t>реструктуризації незалежно від їх впливу (позитивного або негативного) на значення нормативів достатності капіталу.</w:t>
      </w:r>
    </w:p>
    <w:p w:rsidR="00E81497" w:rsidRPr="009B5713" w:rsidRDefault="00E81497" w:rsidP="009B5713">
      <w:pPr>
        <w:pStyle w:val="af3"/>
        <w:shd w:val="clear" w:color="auto" w:fill="FFFFFF" w:themeFill="background1"/>
        <w:tabs>
          <w:tab w:val="left" w:pos="993"/>
        </w:tabs>
        <w:ind w:left="0" w:firstLine="567"/>
      </w:pPr>
    </w:p>
    <w:p w:rsidR="00E81497" w:rsidRPr="009B5713" w:rsidRDefault="00E81497" w:rsidP="009B5713">
      <w:pPr>
        <w:shd w:val="clear" w:color="auto" w:fill="FFFFFF" w:themeFill="background1"/>
        <w:tabs>
          <w:tab w:val="left" w:pos="0"/>
          <w:tab w:val="left" w:pos="1134"/>
        </w:tabs>
        <w:ind w:firstLine="567"/>
      </w:pPr>
      <w:bookmarkStart w:id="10" w:name="_Hlk131142836"/>
      <w:r w:rsidRPr="009B5713">
        <w:t>1</w:t>
      </w:r>
      <w:r w:rsidR="0051334A" w:rsidRPr="009B5713">
        <w:t>1</w:t>
      </w:r>
      <w:r w:rsidRPr="009B5713">
        <w:t>. План капіталізації/реструктуризації банку повинен містити:</w:t>
      </w:r>
    </w:p>
    <w:bookmarkEnd w:id="10"/>
    <w:p w:rsidR="00E81497" w:rsidRPr="009B5713" w:rsidRDefault="00E81497" w:rsidP="009B5713">
      <w:pPr>
        <w:tabs>
          <w:tab w:val="left" w:pos="0"/>
          <w:tab w:val="left" w:pos="1134"/>
        </w:tabs>
        <w:ind w:firstLine="567"/>
      </w:pPr>
    </w:p>
    <w:p w:rsidR="00E81497" w:rsidRPr="009B5713" w:rsidRDefault="00112D17" w:rsidP="009B5713">
      <w:pPr>
        <w:pStyle w:val="af3"/>
        <w:numPr>
          <w:ilvl w:val="0"/>
          <w:numId w:val="15"/>
        </w:numPr>
        <w:shd w:val="clear" w:color="auto" w:fill="FFFFFF" w:themeFill="background1"/>
        <w:tabs>
          <w:tab w:val="left" w:pos="993"/>
        </w:tabs>
        <w:autoSpaceDE w:val="0"/>
        <w:autoSpaceDN w:val="0"/>
        <w:adjustRightInd w:val="0"/>
        <w:ind w:left="0" w:firstLine="567"/>
      </w:pPr>
      <w:r w:rsidRPr="009B5713">
        <w:t xml:space="preserve">планові значення </w:t>
      </w:r>
      <w:r w:rsidR="001C34D9" w:rsidRPr="009B5713">
        <w:rPr>
          <w:lang w:eastAsia="ru-RU"/>
        </w:rPr>
        <w:t>регулятивного капіталу, основного капіталу,</w:t>
      </w:r>
      <w:r w:rsidRPr="009B5713">
        <w:t xml:space="preserve"> нормативів Н2 та Н3</w:t>
      </w:r>
      <w:r w:rsidR="00BC259C" w:rsidRPr="009B5713">
        <w:t>,</w:t>
      </w:r>
      <w:r w:rsidR="00FE2D8C" w:rsidRPr="009B5713">
        <w:t xml:space="preserve"> </w:t>
      </w:r>
      <w:r w:rsidRPr="009B5713">
        <w:t>прогнозн</w:t>
      </w:r>
      <w:r w:rsidR="00FE2D8C" w:rsidRPr="009B5713">
        <w:t>і</w:t>
      </w:r>
      <w:r w:rsidR="00E81497" w:rsidRPr="009B5713">
        <w:t xml:space="preserve"> </w:t>
      </w:r>
      <w:r w:rsidRPr="009B5713">
        <w:t>розрахунк</w:t>
      </w:r>
      <w:r w:rsidR="00FE2D8C" w:rsidRPr="009B5713">
        <w:t>и</w:t>
      </w:r>
      <w:r w:rsidR="00E81497" w:rsidRPr="009B5713">
        <w:t xml:space="preserve"> збільшення розміру </w:t>
      </w:r>
      <w:r w:rsidR="001C34D9" w:rsidRPr="009B5713">
        <w:rPr>
          <w:lang w:eastAsia="ru-RU"/>
        </w:rPr>
        <w:t>регулятивного та основного капіталу,</w:t>
      </w:r>
      <w:r w:rsidR="00E81497" w:rsidRPr="009B5713">
        <w:t xml:space="preserve"> збільшення значення нормативів Н2 та Н3. Банк здійснює такі розрахунки на підставі результатів прогнозних показників діяльності (можливість збільшення капіталу за рахунок внутрішніх джерел, зокрема зменшення частки вкладень у цінні папери, інвестицій в асоційовані та дочірні компанії, вкладень в інші банки на умовах </w:t>
      </w:r>
      <w:proofErr w:type="spellStart"/>
      <w:r w:rsidR="00E81497" w:rsidRPr="009B5713">
        <w:t>субординованого</w:t>
      </w:r>
      <w:proofErr w:type="spellEnd"/>
      <w:r w:rsidR="00E81497" w:rsidRPr="009B5713">
        <w:t xml:space="preserve"> боргу</w:t>
      </w:r>
      <w:r w:rsidR="00C02274" w:rsidRPr="009B5713">
        <w:t>/капітального інструменту з умовами списання/конверсії</w:t>
      </w:r>
      <w:r w:rsidR="00E81497" w:rsidRPr="009B5713">
        <w:t>) та попередніх домовленостей з акціонерами/інвесторами/</w:t>
      </w:r>
      <w:r w:rsidR="004F007A" w:rsidRPr="009B5713">
        <w:t xml:space="preserve"> </w:t>
      </w:r>
      <w:r w:rsidR="00E81497" w:rsidRPr="009B5713">
        <w:t>кредиторами (можливість збільшення капіталу за рахунок зовнішніх джерел);</w:t>
      </w:r>
    </w:p>
    <w:p w:rsidR="00E81497" w:rsidRPr="009B5713" w:rsidRDefault="00E81497" w:rsidP="009B5713">
      <w:pPr>
        <w:pStyle w:val="af3"/>
        <w:tabs>
          <w:tab w:val="left" w:pos="993"/>
        </w:tabs>
        <w:autoSpaceDE w:val="0"/>
        <w:autoSpaceDN w:val="0"/>
        <w:adjustRightInd w:val="0"/>
        <w:ind w:left="0" w:firstLine="567"/>
      </w:pPr>
    </w:p>
    <w:p w:rsidR="00E81497" w:rsidRPr="009B5713" w:rsidRDefault="00E81497" w:rsidP="009B5713">
      <w:pPr>
        <w:pStyle w:val="af3"/>
        <w:numPr>
          <w:ilvl w:val="0"/>
          <w:numId w:val="15"/>
        </w:numPr>
        <w:shd w:val="clear" w:color="auto" w:fill="FFFFFF" w:themeFill="background1"/>
        <w:tabs>
          <w:tab w:val="left" w:pos="993"/>
        </w:tabs>
        <w:autoSpaceDE w:val="0"/>
        <w:autoSpaceDN w:val="0"/>
        <w:adjustRightInd w:val="0"/>
        <w:ind w:left="0" w:firstLine="567"/>
        <w:contextualSpacing w:val="0"/>
      </w:pPr>
      <w:r w:rsidRPr="009B5713">
        <w:t xml:space="preserve"> інформацію про збільшення </w:t>
      </w:r>
      <w:r w:rsidR="001C34D9" w:rsidRPr="009B5713">
        <w:t xml:space="preserve">розміру </w:t>
      </w:r>
      <w:r w:rsidR="001C34D9" w:rsidRPr="009B5713">
        <w:rPr>
          <w:lang w:eastAsia="ru-RU"/>
        </w:rPr>
        <w:t>регулятивного капіталу, основного капіталу</w:t>
      </w:r>
      <w:r w:rsidRPr="009B5713">
        <w:t>, збільшення значен</w:t>
      </w:r>
      <w:r w:rsidR="001C188C" w:rsidRPr="009B5713">
        <w:t>ь</w:t>
      </w:r>
      <w:r w:rsidRPr="009B5713">
        <w:t xml:space="preserve"> нормативів Н2 та Н3 за рахунок зовнішніх джерел:</w:t>
      </w:r>
    </w:p>
    <w:p w:rsidR="00E81497" w:rsidRPr="009B5713" w:rsidRDefault="00E81497" w:rsidP="009B5713">
      <w:pPr>
        <w:shd w:val="clear" w:color="auto" w:fill="FFFFFF" w:themeFill="background1"/>
        <w:tabs>
          <w:tab w:val="left" w:pos="993"/>
        </w:tabs>
        <w:autoSpaceDE w:val="0"/>
        <w:autoSpaceDN w:val="0"/>
        <w:adjustRightInd w:val="0"/>
        <w:ind w:firstLine="567"/>
      </w:pPr>
      <w:r w:rsidRPr="009B5713">
        <w:t>збільшення розміру статутного капіталу банку;</w:t>
      </w:r>
    </w:p>
    <w:p w:rsidR="00E81497" w:rsidRPr="009B5713" w:rsidRDefault="007A305D" w:rsidP="009B5713">
      <w:pPr>
        <w:shd w:val="clear" w:color="auto" w:fill="FFFFFF" w:themeFill="background1"/>
        <w:tabs>
          <w:tab w:val="left" w:pos="993"/>
        </w:tabs>
        <w:autoSpaceDE w:val="0"/>
        <w:autoSpaceDN w:val="0"/>
        <w:adjustRightInd w:val="0"/>
        <w:ind w:firstLine="567"/>
      </w:pPr>
      <w:r w:rsidRPr="009B5713">
        <w:t xml:space="preserve">внесків </w:t>
      </w:r>
      <w:r w:rsidR="00E81497" w:rsidRPr="009B5713">
        <w:t>за незареєстрованим статутним капіталом, зокрема за рахунок додаткових внесків акціонерів, залучення коштів інвесторів, у тому числі власників вкладів (депозитів) за їх згодою;</w:t>
      </w:r>
    </w:p>
    <w:p w:rsidR="00E81497" w:rsidRPr="009B5713" w:rsidRDefault="00E81497" w:rsidP="009B5713">
      <w:pPr>
        <w:shd w:val="clear" w:color="auto" w:fill="FFFFFF" w:themeFill="background1"/>
        <w:tabs>
          <w:tab w:val="left" w:pos="993"/>
        </w:tabs>
        <w:autoSpaceDE w:val="0"/>
        <w:autoSpaceDN w:val="0"/>
        <w:adjustRightInd w:val="0"/>
        <w:ind w:firstLine="567"/>
      </w:pPr>
      <w:r w:rsidRPr="009B5713">
        <w:t xml:space="preserve">залучення коштів на умовах </w:t>
      </w:r>
      <w:proofErr w:type="spellStart"/>
      <w:r w:rsidRPr="009B5713">
        <w:t>субординованого</w:t>
      </w:r>
      <w:proofErr w:type="spellEnd"/>
      <w:r w:rsidRPr="009B5713">
        <w:t xml:space="preserve"> боргу</w:t>
      </w:r>
      <w:r w:rsidR="00C02274" w:rsidRPr="009B5713">
        <w:t>/капітального інструменту з умовами списання/конверсії</w:t>
      </w:r>
      <w:r w:rsidRPr="009B5713">
        <w:t>;</w:t>
      </w:r>
    </w:p>
    <w:p w:rsidR="00E81497" w:rsidRPr="009B5713" w:rsidRDefault="00E81497" w:rsidP="009B5713">
      <w:pPr>
        <w:shd w:val="clear" w:color="auto" w:fill="FFFFFF" w:themeFill="background1"/>
        <w:tabs>
          <w:tab w:val="left" w:pos="993"/>
        </w:tabs>
        <w:autoSpaceDE w:val="0"/>
        <w:autoSpaceDN w:val="0"/>
        <w:adjustRightInd w:val="0"/>
        <w:ind w:firstLine="567"/>
      </w:pPr>
      <w:r w:rsidRPr="009B5713">
        <w:t xml:space="preserve">отримання прибутку від операцій з акціонерами, зокрема в результаті отримання безповоротної фінансової допомоги, </w:t>
      </w:r>
      <w:r w:rsidRPr="009B5713">
        <w:rPr>
          <w:shd w:val="clear" w:color="auto" w:fill="FFFFFF" w:themeFill="background1"/>
        </w:rPr>
        <w:t>прощення боргу</w:t>
      </w:r>
      <w:r w:rsidRPr="009B5713">
        <w:t xml:space="preserve"> за наданими кредитами, депозитами, кредиторською заборгованістю, </w:t>
      </w:r>
      <w:proofErr w:type="spellStart"/>
      <w:r w:rsidRPr="009B5713">
        <w:t>субординованим</w:t>
      </w:r>
      <w:proofErr w:type="spellEnd"/>
      <w:r w:rsidRPr="009B5713">
        <w:t xml:space="preserve"> боргом</w:t>
      </w:r>
      <w:r w:rsidRPr="009B5713">
        <w:rPr>
          <w:shd w:val="clear" w:color="auto" w:fill="FFFFFF" w:themeFill="background1"/>
        </w:rPr>
        <w:t xml:space="preserve"> або </w:t>
      </w:r>
      <w:proofErr w:type="spellStart"/>
      <w:r w:rsidRPr="009B5713">
        <w:rPr>
          <w:shd w:val="clear" w:color="auto" w:fill="FFFFFF" w:themeFill="background1"/>
        </w:rPr>
        <w:t>вкладеннями</w:t>
      </w:r>
      <w:proofErr w:type="spellEnd"/>
      <w:r w:rsidRPr="009B5713">
        <w:rPr>
          <w:shd w:val="clear" w:color="auto" w:fill="FFFFFF" w:themeFill="background1"/>
        </w:rPr>
        <w:t xml:space="preserve"> </w:t>
      </w:r>
      <w:r w:rsidRPr="009B5713">
        <w:t xml:space="preserve">в боргові цінні папери власної емісії банку; </w:t>
      </w:r>
    </w:p>
    <w:p w:rsidR="00E81497" w:rsidRPr="009B5713" w:rsidRDefault="00E81497" w:rsidP="009B5713">
      <w:pPr>
        <w:shd w:val="clear" w:color="auto" w:fill="FFFFFF" w:themeFill="background1"/>
        <w:tabs>
          <w:tab w:val="left" w:pos="993"/>
        </w:tabs>
        <w:autoSpaceDE w:val="0"/>
        <w:autoSpaceDN w:val="0"/>
        <w:adjustRightInd w:val="0"/>
        <w:ind w:firstLine="567"/>
      </w:pPr>
      <w:r w:rsidRPr="009B5713">
        <w:lastRenderedPageBreak/>
        <w:t>продаж</w:t>
      </w:r>
      <w:r w:rsidR="007A305D" w:rsidRPr="009B5713">
        <w:t>у</w:t>
      </w:r>
      <w:r w:rsidRPr="009B5713">
        <w:t xml:space="preserve"> власних акцій, викуплених банком в акціонерів;</w:t>
      </w:r>
    </w:p>
    <w:p w:rsidR="00E81497" w:rsidRPr="009B5713" w:rsidRDefault="00E81497" w:rsidP="009B5713">
      <w:pPr>
        <w:shd w:val="clear" w:color="auto" w:fill="FFFFFF" w:themeFill="background1"/>
        <w:autoSpaceDE w:val="0"/>
        <w:autoSpaceDN w:val="0"/>
        <w:adjustRightInd w:val="0"/>
        <w:ind w:firstLine="567"/>
      </w:pPr>
    </w:p>
    <w:p w:rsidR="00E81497" w:rsidRPr="009B5713" w:rsidRDefault="00E81497" w:rsidP="009B5713">
      <w:pPr>
        <w:shd w:val="clear" w:color="auto" w:fill="FFFFFF" w:themeFill="background1"/>
        <w:autoSpaceDE w:val="0"/>
        <w:autoSpaceDN w:val="0"/>
        <w:adjustRightInd w:val="0"/>
        <w:ind w:firstLine="567"/>
      </w:pPr>
      <w:r w:rsidRPr="009B5713">
        <w:t>3) заходи, яких банк має вжити для забезпечення досягнення</w:t>
      </w:r>
      <w:r w:rsidRPr="009B5713">
        <w:rPr>
          <w:b/>
        </w:rPr>
        <w:t xml:space="preserve"> </w:t>
      </w:r>
      <w:r w:rsidRPr="009B5713">
        <w:t>необхідн</w:t>
      </w:r>
      <w:r w:rsidR="005257D5" w:rsidRPr="009B5713">
        <w:t>их</w:t>
      </w:r>
      <w:r w:rsidRPr="009B5713">
        <w:t xml:space="preserve"> рівн</w:t>
      </w:r>
      <w:r w:rsidR="005257D5" w:rsidRPr="009B5713">
        <w:t>ів</w:t>
      </w:r>
      <w:r w:rsidRPr="009B5713">
        <w:t xml:space="preserve"> нормативів Н2 та Н3, визначен</w:t>
      </w:r>
      <w:r w:rsidR="005257D5" w:rsidRPr="009B5713">
        <w:t>их</w:t>
      </w:r>
      <w:r w:rsidRPr="009B5713">
        <w:t xml:space="preserve"> Національним банком за результатами оцінки стійкості, із зазначенням строків їх виконання та розрахунку економічного ефекту від упровадження кожного заходу;</w:t>
      </w:r>
    </w:p>
    <w:p w:rsidR="00E81497" w:rsidRPr="009B5713" w:rsidRDefault="00E81497" w:rsidP="009B5713">
      <w:pPr>
        <w:shd w:val="clear" w:color="auto" w:fill="FFFFFF" w:themeFill="background1"/>
        <w:autoSpaceDE w:val="0"/>
        <w:autoSpaceDN w:val="0"/>
        <w:adjustRightInd w:val="0"/>
        <w:ind w:firstLine="567"/>
        <w:rPr>
          <w:i/>
        </w:rPr>
      </w:pPr>
    </w:p>
    <w:p w:rsidR="00E81497" w:rsidRPr="009B5713" w:rsidRDefault="00E81497" w:rsidP="009B5713">
      <w:pPr>
        <w:shd w:val="clear" w:color="auto" w:fill="FFFFFF" w:themeFill="background1"/>
        <w:autoSpaceDE w:val="0"/>
        <w:autoSpaceDN w:val="0"/>
        <w:adjustRightInd w:val="0"/>
        <w:ind w:firstLine="567"/>
      </w:pPr>
      <w:r w:rsidRPr="009B5713">
        <w:t>4) упроваджені банком заходи та/або фактичні події, що відбулися після звітної дати, що враховані банком під час складання програми капіталізації/ реструктуризації, а також розрахунок економічного ефекту від упровадження кожного заходу/впливу кожної фактичної події;</w:t>
      </w:r>
    </w:p>
    <w:p w:rsidR="00E81497" w:rsidRPr="009B5713" w:rsidRDefault="00E81497" w:rsidP="009B5713">
      <w:pPr>
        <w:shd w:val="clear" w:color="auto" w:fill="FFFFFF" w:themeFill="background1"/>
        <w:autoSpaceDE w:val="0"/>
        <w:autoSpaceDN w:val="0"/>
        <w:adjustRightInd w:val="0"/>
        <w:ind w:firstLine="567"/>
        <w:rPr>
          <w:i/>
        </w:rPr>
      </w:pPr>
    </w:p>
    <w:p w:rsidR="00E81497" w:rsidRPr="009B5713" w:rsidRDefault="00E81497" w:rsidP="009B5713">
      <w:pPr>
        <w:shd w:val="clear" w:color="auto" w:fill="FFFFFF" w:themeFill="background1"/>
        <w:tabs>
          <w:tab w:val="left" w:pos="0"/>
        </w:tabs>
        <w:ind w:firstLine="567"/>
      </w:pPr>
      <w:bookmarkStart w:id="11" w:name="_Hlk131142863"/>
      <w:r w:rsidRPr="009B5713">
        <w:t>5) заходи щодо проведення операційної та/або структурної реструктуризації з поліпшення якості активів банку та/або реструктуризації зобов’язань банку, що можуть передбачати:</w:t>
      </w:r>
    </w:p>
    <w:bookmarkEnd w:id="11"/>
    <w:p w:rsidR="00E81497" w:rsidRPr="009B5713" w:rsidRDefault="00E81497" w:rsidP="009B5713">
      <w:pPr>
        <w:shd w:val="clear" w:color="auto" w:fill="FFFFFF" w:themeFill="background1"/>
        <w:tabs>
          <w:tab w:val="left" w:pos="720"/>
          <w:tab w:val="left" w:pos="900"/>
          <w:tab w:val="left" w:pos="1080"/>
        </w:tabs>
        <w:ind w:firstLine="567"/>
      </w:pPr>
      <w:r w:rsidRPr="009B5713">
        <w:t>погашення активів, за якими вимагалося збільшення розміру кредитного ризику за результатами перевірки якості активів під час оцінки стійкості банку;</w:t>
      </w:r>
    </w:p>
    <w:p w:rsidR="00E81497" w:rsidRPr="009B5713" w:rsidRDefault="00E81497" w:rsidP="009B5713">
      <w:pPr>
        <w:shd w:val="clear" w:color="auto" w:fill="FFFFFF" w:themeFill="background1"/>
        <w:tabs>
          <w:tab w:val="left" w:pos="0"/>
          <w:tab w:val="left" w:pos="851"/>
        </w:tabs>
        <w:ind w:firstLine="567"/>
      </w:pPr>
      <w:r w:rsidRPr="009B5713">
        <w:t xml:space="preserve">здійснення реструктуризації кредитів, за якими вимагалося збільшення розміру кредитного ризику за результатами оцінки якості активів банку та прийнятності забезпечення за кредитними операціями, шляхом оформлення додаткового забезпечення за цими кредитами: </w:t>
      </w:r>
    </w:p>
    <w:p w:rsidR="00E81497" w:rsidRPr="009B5713" w:rsidRDefault="00E81497" w:rsidP="009B5713">
      <w:pPr>
        <w:shd w:val="clear" w:color="auto" w:fill="FFFFFF" w:themeFill="background1"/>
        <w:ind w:firstLine="567"/>
      </w:pPr>
      <w:r w:rsidRPr="009B5713">
        <w:t>у вигляді майна – за умови належної його оцінки, здійсненої за ринковою (справедливою) вартістю незалежним суб’єктом оціночної діяльності, та належного юридичного оформлення;</w:t>
      </w:r>
    </w:p>
    <w:p w:rsidR="00E81497" w:rsidRPr="009B5713" w:rsidRDefault="00E81497" w:rsidP="009B5713">
      <w:pPr>
        <w:shd w:val="clear" w:color="auto" w:fill="FFFFFF" w:themeFill="background1"/>
        <w:ind w:firstLine="567"/>
      </w:pPr>
      <w:r w:rsidRPr="009B5713">
        <w:t>у вигляді безумовного зобов’язання про погашення боргу, наданого безпосередньо на користь банку (договори поруки), що надані контролером або учасником групи юридичних осіб під спільним контролем, за таких умов:</w:t>
      </w:r>
    </w:p>
    <w:p w:rsidR="00E81497" w:rsidRPr="009B5713" w:rsidRDefault="00E81497" w:rsidP="009B5713">
      <w:pPr>
        <w:shd w:val="clear" w:color="auto" w:fill="FFFFFF" w:themeFill="background1"/>
        <w:ind w:firstLine="567"/>
      </w:pPr>
      <w:r w:rsidRPr="009B5713">
        <w:t xml:space="preserve">підтвердження банку про наявність групи юридичних осіб під спільним контролем; </w:t>
      </w:r>
    </w:p>
    <w:p w:rsidR="00E81497" w:rsidRPr="009B5713" w:rsidRDefault="00E81497" w:rsidP="009B5713">
      <w:pPr>
        <w:shd w:val="clear" w:color="auto" w:fill="FFFFFF" w:themeFill="background1"/>
        <w:tabs>
          <w:tab w:val="left" w:pos="0"/>
          <w:tab w:val="left" w:pos="851"/>
        </w:tabs>
        <w:ind w:firstLine="567"/>
      </w:pPr>
      <w:r w:rsidRPr="009B5713">
        <w:t xml:space="preserve">належного юридичного оформлення наданих безумовних зобов’язань; </w:t>
      </w:r>
    </w:p>
    <w:p w:rsidR="00E81497" w:rsidRPr="009B5713" w:rsidRDefault="00E81497" w:rsidP="009B5713">
      <w:pPr>
        <w:shd w:val="clear" w:color="auto" w:fill="FFFFFF" w:themeFill="background1"/>
        <w:ind w:firstLine="567"/>
      </w:pPr>
      <w:r w:rsidRPr="009B5713">
        <w:t>підтвердження кредитоспроможності осіб, які надають безумовні зобов’язання про погашення боргу, їх фінансовими планами. Умови реструктуризації кредитів не передбачають погашення заборгованості за діючими кредитами за рахунок видачі нових кредитів, надання кредитів без належного забезпечення, надання кредитів клієнтам із непрозорою структурою власності, клієнтам, фінансовий стан яких не підтверджує спроможності обслуговувати кредити за ринковими умовами та/або цільове використання кредитів викликає сумніви щодо їх повернення;</w:t>
      </w:r>
    </w:p>
    <w:p w:rsidR="00E81497" w:rsidRPr="009B5713" w:rsidRDefault="00E81497" w:rsidP="009B5713">
      <w:pPr>
        <w:shd w:val="clear" w:color="auto" w:fill="FFFFFF" w:themeFill="background1"/>
        <w:tabs>
          <w:tab w:val="left" w:pos="720"/>
          <w:tab w:val="left" w:pos="900"/>
          <w:tab w:val="left" w:pos="1080"/>
        </w:tabs>
        <w:ind w:firstLine="567"/>
      </w:pPr>
      <w:bookmarkStart w:id="12" w:name="_Hlk131142794"/>
      <w:r w:rsidRPr="009B5713">
        <w:t xml:space="preserve">поліпшення фінансового результату за рахунок зменшення процентних витрат у </w:t>
      </w:r>
      <w:r w:rsidR="00312E17" w:rsidRPr="009B5713">
        <w:t xml:space="preserve">разі спрямування залучених коштів на умовах </w:t>
      </w:r>
      <w:proofErr w:type="spellStart"/>
      <w:r w:rsidRPr="009B5713">
        <w:t>субординованого</w:t>
      </w:r>
      <w:proofErr w:type="spellEnd"/>
      <w:r w:rsidRPr="009B5713">
        <w:t xml:space="preserve"> боргу</w:t>
      </w:r>
      <w:r w:rsidR="00C02274" w:rsidRPr="009B5713">
        <w:t>/капітального інструменту з умовами списання/конверсії</w:t>
      </w:r>
      <w:r w:rsidRPr="009B5713">
        <w:t xml:space="preserve"> та/або інших процентних зобов’язань </w:t>
      </w:r>
      <w:r w:rsidR="00312E17" w:rsidRPr="009B5713">
        <w:t>на оплату простих акцій додаткової емісії</w:t>
      </w:r>
      <w:r w:rsidRPr="009B5713">
        <w:t>;</w:t>
      </w:r>
    </w:p>
    <w:bookmarkEnd w:id="12"/>
    <w:p w:rsidR="00E81497" w:rsidRPr="009B5713" w:rsidRDefault="00E81497" w:rsidP="009B5713">
      <w:pPr>
        <w:shd w:val="clear" w:color="auto" w:fill="FFFFFF" w:themeFill="background1"/>
        <w:ind w:firstLine="567"/>
      </w:pPr>
      <w:r w:rsidRPr="009B5713">
        <w:lastRenderedPageBreak/>
        <w:t>відчуження активів банку (з урахуванням потенційних втрат від такого відчуження) виходячи з ринкової вартості таких активів, продажу часток акцій дочірніх та асоційованих компаній, які не приносять прибутку або є малоприбутковими, цінних паперів, що не мають активного ринку, майна, яке перейшло у власність банку на підставі реалізації прав заставодержателя;</w:t>
      </w:r>
    </w:p>
    <w:p w:rsidR="00E81497" w:rsidRPr="009B5713" w:rsidRDefault="00E81497" w:rsidP="009B5713">
      <w:pPr>
        <w:shd w:val="clear" w:color="auto" w:fill="FFFFFF" w:themeFill="background1"/>
        <w:ind w:firstLine="567"/>
      </w:pPr>
      <w:r w:rsidRPr="009B5713">
        <w:t>продаж основних засобів виходячи з ринкової вартості таких активів,  ураховуючи ті, що не забезпечують технологічного здійснення банківських послуг;</w:t>
      </w:r>
    </w:p>
    <w:p w:rsidR="00E81497" w:rsidRPr="009B5713" w:rsidRDefault="00E81497" w:rsidP="009B5713">
      <w:pPr>
        <w:shd w:val="clear" w:color="auto" w:fill="FFFFFF" w:themeFill="background1"/>
        <w:ind w:firstLine="567"/>
      </w:pPr>
      <w:r w:rsidRPr="009B5713">
        <w:t xml:space="preserve">списання безнадійних до повернення активів за рахунок створених резервів відповідно до законодавства України; </w:t>
      </w:r>
    </w:p>
    <w:p w:rsidR="00E81497" w:rsidRPr="009B5713" w:rsidRDefault="00E81497" w:rsidP="009B5713">
      <w:pPr>
        <w:shd w:val="clear" w:color="auto" w:fill="FFFFFF" w:themeFill="background1"/>
        <w:ind w:firstLine="567"/>
      </w:pPr>
      <w:r w:rsidRPr="009B5713">
        <w:t>скорочення активних операцій з пов’язаними особами;</w:t>
      </w:r>
    </w:p>
    <w:p w:rsidR="00E81497" w:rsidRPr="009B5713" w:rsidRDefault="00E81497" w:rsidP="009B5713">
      <w:pPr>
        <w:pStyle w:val="af3"/>
        <w:shd w:val="clear" w:color="auto" w:fill="FFFFFF" w:themeFill="background1"/>
        <w:tabs>
          <w:tab w:val="left" w:pos="993"/>
        </w:tabs>
        <w:ind w:left="0" w:firstLine="567"/>
      </w:pPr>
      <w:r w:rsidRPr="009B5713">
        <w:t>проведення операцій з пов’язаними особами виключно на ринкових умовах та з дотриманням відповідних лімітів кредитування, інвестування, переоформлення раніше укладених договорів із пов’язаними особами на ринкових умовах;</w:t>
      </w:r>
    </w:p>
    <w:p w:rsidR="00E81497" w:rsidRPr="009B5713" w:rsidRDefault="00E81497" w:rsidP="009B5713">
      <w:pPr>
        <w:shd w:val="clear" w:color="auto" w:fill="FFFFFF" w:themeFill="background1"/>
        <w:ind w:firstLine="567"/>
      </w:pPr>
    </w:p>
    <w:p w:rsidR="00E81497" w:rsidRPr="009B5713" w:rsidRDefault="00E81497" w:rsidP="009B5713">
      <w:pPr>
        <w:shd w:val="clear" w:color="auto" w:fill="FFFFFF" w:themeFill="background1"/>
        <w:ind w:firstLine="567"/>
      </w:pPr>
      <w:r w:rsidRPr="009B5713">
        <w:t>6) заходи щодо проведення операційної та/або структурної реструктуризації мають відповідати таким мінімальним критеріям:</w:t>
      </w:r>
    </w:p>
    <w:p w:rsidR="00E81497" w:rsidRPr="009B5713" w:rsidRDefault="00E81497" w:rsidP="009B5713">
      <w:pPr>
        <w:shd w:val="clear" w:color="auto" w:fill="FFFFFF" w:themeFill="background1"/>
        <w:ind w:firstLine="567"/>
      </w:pPr>
      <w:r w:rsidRPr="009B5713">
        <w:t>операції з продажу/відчуження активів банку (з урахуванням потенційних втрат від продажу/відчуження) здійснюються за справедливою (ринковою) вартістю таких активів;</w:t>
      </w:r>
    </w:p>
    <w:p w:rsidR="00E81497" w:rsidRPr="009B5713" w:rsidRDefault="00E81497" w:rsidP="009B5713">
      <w:pPr>
        <w:shd w:val="clear" w:color="auto" w:fill="FFFFFF" w:themeFill="background1"/>
        <w:ind w:firstLine="567"/>
      </w:pPr>
      <w:r w:rsidRPr="009B5713">
        <w:t>відчуження активів материнській компанії ґрунтується на історії успішно реалізованих подібних угод. Материнська компанія або пов’язані з банком особи підтримують обсяг наданих банку кредитних та/або депозитних коштів, розміщених у банку в сумі, що дорівнює або перевищує суму капіталу, який, як очікується, має бути збережений у межах запропонованого продажу/відчуження або передавання активів. Власники цих вимог до банку взяли зобов’язання здійснити конвертацію таких коштів у капітал банку, якщо продаж/відчуження або передавання активів не будуть реалізовані;</w:t>
      </w:r>
    </w:p>
    <w:p w:rsidR="00E81497" w:rsidRPr="009B5713" w:rsidRDefault="00E81497" w:rsidP="009B5713">
      <w:pPr>
        <w:pStyle w:val="af3"/>
        <w:shd w:val="clear" w:color="auto" w:fill="FFFFFF" w:themeFill="background1"/>
        <w:tabs>
          <w:tab w:val="left" w:pos="993"/>
        </w:tabs>
        <w:ind w:left="0" w:firstLine="567"/>
      </w:pPr>
      <w:r w:rsidRPr="009B5713">
        <w:t>втрати банку від зниження операційних витрат передбачаються в прогнозному звіті про фінансові результати банку протягом першого року реалізації плану реструктуризації;</w:t>
      </w:r>
    </w:p>
    <w:p w:rsidR="00E81497" w:rsidRPr="009B5713" w:rsidRDefault="00E81497" w:rsidP="009B5713">
      <w:pPr>
        <w:pStyle w:val="af3"/>
        <w:shd w:val="clear" w:color="auto" w:fill="FFFFFF" w:themeFill="background1"/>
        <w:tabs>
          <w:tab w:val="left" w:pos="993"/>
        </w:tabs>
        <w:ind w:left="0" w:firstLine="567"/>
        <w:rPr>
          <w:i/>
        </w:rPr>
      </w:pPr>
    </w:p>
    <w:p w:rsidR="00E81497" w:rsidRPr="009B5713" w:rsidRDefault="00E81497" w:rsidP="009B5713">
      <w:pPr>
        <w:pStyle w:val="af3"/>
        <w:shd w:val="clear" w:color="auto" w:fill="FFFFFF" w:themeFill="background1"/>
        <w:ind w:left="0" w:firstLine="567"/>
      </w:pPr>
      <w:r w:rsidRPr="009B5713">
        <w:t>7) заходи з удосконалення системи управління банку, фінансово-економічної політики, управління персоналом, що можуть передбачати:</w:t>
      </w:r>
    </w:p>
    <w:p w:rsidR="00E81497" w:rsidRPr="009B5713" w:rsidRDefault="00E81497" w:rsidP="009B5713">
      <w:pPr>
        <w:shd w:val="clear" w:color="auto" w:fill="FFFFFF" w:themeFill="background1"/>
        <w:ind w:firstLine="567"/>
      </w:pPr>
      <w:r w:rsidRPr="009B5713">
        <w:t>скорочення адміністративних витрат, ураховуючи витрати на утримання персоналу;</w:t>
      </w:r>
    </w:p>
    <w:p w:rsidR="00E81497" w:rsidRPr="009B5713" w:rsidRDefault="00E81497" w:rsidP="009B5713">
      <w:pPr>
        <w:shd w:val="clear" w:color="auto" w:fill="FFFFFF" w:themeFill="background1"/>
        <w:ind w:firstLine="567"/>
      </w:pPr>
      <w:r w:rsidRPr="009B5713">
        <w:t>згортання спонсорських та благодійних програм, витрат на рекламу та маркетинг;</w:t>
      </w:r>
    </w:p>
    <w:p w:rsidR="00E81497" w:rsidRPr="009B5713" w:rsidRDefault="00E81497" w:rsidP="009B5713">
      <w:pPr>
        <w:shd w:val="clear" w:color="auto" w:fill="FFFFFF" w:themeFill="background1"/>
        <w:ind w:firstLine="567"/>
      </w:pPr>
      <w:r w:rsidRPr="009B5713">
        <w:t>скорочення персоналу банку;</w:t>
      </w:r>
    </w:p>
    <w:p w:rsidR="00E81497" w:rsidRPr="009B5713" w:rsidRDefault="009973AA" w:rsidP="009B5713">
      <w:pPr>
        <w:shd w:val="clear" w:color="auto" w:fill="FFFFFF" w:themeFill="background1"/>
        <w:ind w:firstLine="567"/>
      </w:pPr>
      <w:r w:rsidRPr="009B5713">
        <w:t xml:space="preserve">зміну </w:t>
      </w:r>
      <w:r w:rsidR="00E81497" w:rsidRPr="009B5713">
        <w:t>управлінської та внутрішньої організаційної структури банку;</w:t>
      </w:r>
    </w:p>
    <w:p w:rsidR="00E81497" w:rsidRPr="009B5713" w:rsidRDefault="00E81497" w:rsidP="009B5713">
      <w:pPr>
        <w:shd w:val="clear" w:color="auto" w:fill="FFFFFF" w:themeFill="background1"/>
        <w:ind w:firstLine="567"/>
      </w:pPr>
      <w:r w:rsidRPr="009B5713">
        <w:t xml:space="preserve">скорочення кількості відокремлених підрозділів банку; </w:t>
      </w:r>
    </w:p>
    <w:p w:rsidR="00E81497" w:rsidRPr="009B5713" w:rsidRDefault="009973AA" w:rsidP="009B5713">
      <w:pPr>
        <w:shd w:val="clear" w:color="auto" w:fill="FFFFFF" w:themeFill="background1"/>
        <w:ind w:firstLine="567"/>
      </w:pPr>
      <w:r w:rsidRPr="009B5713">
        <w:lastRenderedPageBreak/>
        <w:t xml:space="preserve">відмову </w:t>
      </w:r>
      <w:r w:rsidR="00E81497" w:rsidRPr="009B5713">
        <w:t>від нерентабельних напрямів бізнесу або продаж бізнесу;</w:t>
      </w:r>
    </w:p>
    <w:p w:rsidR="00E81497" w:rsidRPr="009B5713" w:rsidRDefault="009973AA" w:rsidP="009B5713">
      <w:pPr>
        <w:shd w:val="clear" w:color="auto" w:fill="FFFFFF" w:themeFill="background1"/>
        <w:ind w:firstLine="567"/>
      </w:pPr>
      <w:r w:rsidRPr="009B5713">
        <w:t xml:space="preserve">зміну </w:t>
      </w:r>
      <w:r w:rsidR="00E81497" w:rsidRPr="009B5713">
        <w:t xml:space="preserve">структури банківських послуг; </w:t>
      </w:r>
    </w:p>
    <w:p w:rsidR="00E81497" w:rsidRPr="009B5713" w:rsidRDefault="00E81497" w:rsidP="009B5713">
      <w:pPr>
        <w:shd w:val="clear" w:color="auto" w:fill="FFFFFF" w:themeFill="background1"/>
        <w:ind w:firstLine="567"/>
      </w:pPr>
      <w:r w:rsidRPr="009B5713">
        <w:t>припинення нарахування та виплати дивідендів учасникам банку, бонусів його керівництву;</w:t>
      </w:r>
    </w:p>
    <w:p w:rsidR="0088501C" w:rsidRPr="009B5713" w:rsidRDefault="00E81497" w:rsidP="009B5713">
      <w:pPr>
        <w:shd w:val="clear" w:color="auto" w:fill="FFFFFF" w:themeFill="background1"/>
        <w:autoSpaceDE w:val="0"/>
        <w:autoSpaceDN w:val="0"/>
        <w:adjustRightInd w:val="0"/>
        <w:ind w:firstLine="567"/>
      </w:pPr>
      <w:r w:rsidRPr="009B5713">
        <w:t>запровадження мораторію та/або обмеження щодо інвестування коштів в  інші компанії, цінні папери, які не мають активного ринку, відкриття нових відділень, за винятком випадків, якщо банк обґрунтує, що такі заходи приведуть до підвищення ефективності і прибутковості його діяльності</w:t>
      </w:r>
      <w:r w:rsidR="00A664F4" w:rsidRPr="009B5713">
        <w:t>.</w:t>
      </w:r>
    </w:p>
    <w:p w:rsidR="00E81497" w:rsidRPr="009B5713" w:rsidRDefault="00E81497" w:rsidP="009B5713">
      <w:pPr>
        <w:pStyle w:val="af6"/>
        <w:shd w:val="clear" w:color="auto" w:fill="FFFFFF" w:themeFill="background1"/>
        <w:tabs>
          <w:tab w:val="left" w:pos="993"/>
        </w:tabs>
        <w:ind w:firstLine="567"/>
        <w:jc w:val="both"/>
        <w:rPr>
          <w:rFonts w:ascii="Times New Roman" w:hAnsi="Times New Roman"/>
          <w:sz w:val="28"/>
          <w:szCs w:val="28"/>
        </w:rPr>
      </w:pPr>
      <w:r w:rsidRPr="009B5713">
        <w:rPr>
          <w:rFonts w:ascii="Times New Roman" w:hAnsi="Times New Roman"/>
          <w:sz w:val="28"/>
          <w:szCs w:val="28"/>
        </w:rPr>
        <w:t>Відповідно до Інструкції №</w:t>
      </w:r>
      <w:r w:rsidR="00E013BC" w:rsidRPr="009B5713">
        <w:rPr>
          <w:rFonts w:ascii="Times New Roman" w:hAnsi="Times New Roman"/>
          <w:sz w:val="28"/>
          <w:szCs w:val="28"/>
        </w:rPr>
        <w:t> </w:t>
      </w:r>
      <w:r w:rsidRPr="009B5713">
        <w:rPr>
          <w:rFonts w:ascii="Times New Roman" w:hAnsi="Times New Roman"/>
          <w:sz w:val="28"/>
          <w:szCs w:val="28"/>
        </w:rPr>
        <w:t xml:space="preserve">368 банк за згодою інвестора та після отримання відповідного дозволу Національного банку може достроково погасити </w:t>
      </w:r>
      <w:proofErr w:type="spellStart"/>
      <w:r w:rsidRPr="009B5713">
        <w:rPr>
          <w:rFonts w:ascii="Times New Roman" w:hAnsi="Times New Roman"/>
          <w:sz w:val="28"/>
          <w:szCs w:val="28"/>
        </w:rPr>
        <w:t>субординований</w:t>
      </w:r>
      <w:proofErr w:type="spellEnd"/>
      <w:r w:rsidRPr="009B5713">
        <w:rPr>
          <w:rFonts w:ascii="Times New Roman" w:hAnsi="Times New Roman"/>
          <w:sz w:val="28"/>
          <w:szCs w:val="28"/>
        </w:rPr>
        <w:t xml:space="preserve"> борг</w:t>
      </w:r>
      <w:r w:rsidR="00C02274" w:rsidRPr="009B5713">
        <w:rPr>
          <w:rFonts w:ascii="Times New Roman" w:hAnsi="Times New Roman"/>
          <w:sz w:val="28"/>
          <w:szCs w:val="28"/>
        </w:rPr>
        <w:t>/</w:t>
      </w:r>
      <w:r w:rsidR="00C02274" w:rsidRPr="009B5713">
        <w:rPr>
          <w:rFonts w:ascii="Times New Roman" w:hAnsi="Times New Roman"/>
          <w:sz w:val="28"/>
          <w:szCs w:val="28"/>
          <w:lang w:eastAsia="uk-UA"/>
        </w:rPr>
        <w:t>капітальний інструмент з умовами списання/конверсії</w:t>
      </w:r>
      <w:r w:rsidRPr="009B5713">
        <w:rPr>
          <w:rFonts w:ascii="Times New Roman" w:hAnsi="Times New Roman"/>
          <w:sz w:val="28"/>
          <w:szCs w:val="28"/>
        </w:rPr>
        <w:t xml:space="preserve"> з метою спрямування інвестором коштів на збільшення статутного капіталу.</w:t>
      </w:r>
    </w:p>
    <w:p w:rsidR="00E81497" w:rsidRPr="009B5713" w:rsidRDefault="00E81497" w:rsidP="009B5713">
      <w:pPr>
        <w:shd w:val="clear" w:color="auto" w:fill="FFFFFF" w:themeFill="background1"/>
        <w:autoSpaceDE w:val="0"/>
        <w:autoSpaceDN w:val="0"/>
        <w:adjustRightInd w:val="0"/>
        <w:ind w:firstLine="567"/>
      </w:pPr>
      <w:r w:rsidRPr="009B5713">
        <w:t xml:space="preserve">Банк у разі отримання під час здійснення </w:t>
      </w:r>
      <w:r w:rsidR="002D0C13">
        <w:t>додаткової емісії</w:t>
      </w:r>
      <w:r w:rsidRPr="009B5713">
        <w:t xml:space="preserve"> акці</w:t>
      </w:r>
      <w:r w:rsidR="002D0C13">
        <w:t>й</w:t>
      </w:r>
      <w:r w:rsidRPr="009B5713">
        <w:t xml:space="preserve"> повідомлення про те, що деякі інвестори відкликали свої рішення про купівлю акцій, зобов’язаний негайно повідомити про це Національний банк і </w:t>
      </w:r>
      <w:proofErr w:type="spellStart"/>
      <w:r w:rsidRPr="009B5713">
        <w:t>внести</w:t>
      </w:r>
      <w:proofErr w:type="spellEnd"/>
      <w:r w:rsidRPr="009B5713">
        <w:t xml:space="preserve"> зміни до програми капіталізації/реструктуризації.</w:t>
      </w:r>
    </w:p>
    <w:p w:rsidR="00E81497" w:rsidRPr="009B5713" w:rsidRDefault="00E81497" w:rsidP="009B5713">
      <w:pPr>
        <w:shd w:val="clear" w:color="auto" w:fill="FFFFFF" w:themeFill="background1"/>
        <w:autoSpaceDE w:val="0"/>
        <w:autoSpaceDN w:val="0"/>
        <w:adjustRightInd w:val="0"/>
        <w:ind w:firstLine="567"/>
      </w:pPr>
    </w:p>
    <w:p w:rsidR="00E81497" w:rsidRPr="009B5713" w:rsidRDefault="0051334A" w:rsidP="009B5713">
      <w:pPr>
        <w:shd w:val="clear" w:color="auto" w:fill="FFFFFF" w:themeFill="background1"/>
        <w:tabs>
          <w:tab w:val="left" w:pos="0"/>
        </w:tabs>
        <w:ind w:firstLine="567"/>
      </w:pPr>
      <w:r w:rsidRPr="009B5713">
        <w:t>12</w:t>
      </w:r>
      <w:r w:rsidR="00E81497" w:rsidRPr="009B5713">
        <w:t>. Документи, що додаються банками до плану капіталізації/</w:t>
      </w:r>
      <w:r w:rsidR="00986A5C" w:rsidRPr="009B5713">
        <w:t xml:space="preserve"> </w:t>
      </w:r>
      <w:r w:rsidR="00E81497" w:rsidRPr="009B5713">
        <w:t>реструктуризації:</w:t>
      </w:r>
    </w:p>
    <w:p w:rsidR="005D2ECC" w:rsidRPr="009B5713" w:rsidRDefault="005D2ECC" w:rsidP="009B5713">
      <w:pPr>
        <w:shd w:val="clear" w:color="auto" w:fill="FFFFFF" w:themeFill="background1"/>
        <w:tabs>
          <w:tab w:val="left" w:pos="0"/>
        </w:tabs>
        <w:ind w:firstLine="567"/>
      </w:pPr>
    </w:p>
    <w:p w:rsidR="00E81497" w:rsidRPr="009B5713" w:rsidRDefault="00E81497" w:rsidP="009B5713">
      <w:pPr>
        <w:shd w:val="clear" w:color="auto" w:fill="FFFFFF" w:themeFill="background1"/>
        <w:autoSpaceDE w:val="0"/>
        <w:autoSpaceDN w:val="0"/>
        <w:adjustRightInd w:val="0"/>
        <w:ind w:firstLine="567"/>
      </w:pPr>
      <w:r w:rsidRPr="009B5713">
        <w:t>1) протоколи засідання загальних зборів акціонерів, правління, ради банку;</w:t>
      </w:r>
    </w:p>
    <w:p w:rsidR="005D2ECC" w:rsidRPr="009B5713" w:rsidRDefault="005D2ECC" w:rsidP="009B5713">
      <w:pPr>
        <w:shd w:val="clear" w:color="auto" w:fill="FFFFFF" w:themeFill="background1"/>
        <w:autoSpaceDE w:val="0"/>
        <w:autoSpaceDN w:val="0"/>
        <w:adjustRightInd w:val="0"/>
        <w:ind w:firstLine="567"/>
      </w:pPr>
    </w:p>
    <w:p w:rsidR="00E81497" w:rsidRPr="009B5713" w:rsidRDefault="00E81497" w:rsidP="009B5713">
      <w:pPr>
        <w:shd w:val="clear" w:color="auto" w:fill="FFFFFF" w:themeFill="background1"/>
        <w:autoSpaceDE w:val="0"/>
        <w:autoSpaceDN w:val="0"/>
        <w:adjustRightInd w:val="0"/>
        <w:ind w:firstLine="567"/>
      </w:pPr>
      <w:r w:rsidRPr="009B5713">
        <w:t xml:space="preserve">2) </w:t>
      </w:r>
      <w:r w:rsidR="007C0AC0" w:rsidRPr="009B5713">
        <w:t xml:space="preserve">планові </w:t>
      </w:r>
      <w:r w:rsidRPr="009B5713">
        <w:t>показники діяльності банку на період дії програми капіталізації</w:t>
      </w:r>
      <w:r w:rsidRPr="009B5713">
        <w:rPr>
          <w:b/>
        </w:rPr>
        <w:t>/</w:t>
      </w:r>
      <w:r w:rsidR="00986A5C" w:rsidRPr="009B5713">
        <w:rPr>
          <w:b/>
        </w:rPr>
        <w:t xml:space="preserve"> </w:t>
      </w:r>
      <w:r w:rsidRPr="009B5713">
        <w:t>реструктуризації на кожну звітну місячну дату протягом звітного року, а саме:</w:t>
      </w:r>
    </w:p>
    <w:p w:rsidR="002F3863" w:rsidRPr="009B5713" w:rsidRDefault="001C34D9" w:rsidP="009B5713">
      <w:pPr>
        <w:shd w:val="clear" w:color="auto" w:fill="FFFFFF" w:themeFill="background1"/>
        <w:autoSpaceDE w:val="0"/>
        <w:autoSpaceDN w:val="0"/>
        <w:adjustRightInd w:val="0"/>
        <w:ind w:firstLine="567"/>
      </w:pPr>
      <w:r w:rsidRPr="009B5713">
        <w:t xml:space="preserve">регулятивного/основного </w:t>
      </w:r>
      <w:r w:rsidR="004F007A" w:rsidRPr="009B5713">
        <w:t>капіталу;</w:t>
      </w:r>
    </w:p>
    <w:p w:rsidR="00E81497" w:rsidRPr="009B5713" w:rsidRDefault="00E81497" w:rsidP="009B5713">
      <w:pPr>
        <w:shd w:val="clear" w:color="auto" w:fill="FFFFFF" w:themeFill="background1"/>
        <w:autoSpaceDE w:val="0"/>
        <w:autoSpaceDN w:val="0"/>
        <w:adjustRightInd w:val="0"/>
        <w:ind w:firstLine="567"/>
      </w:pPr>
      <w:r w:rsidRPr="009B5713">
        <w:t xml:space="preserve">мінімального розміру регулятивного капіталу (Н1); </w:t>
      </w:r>
    </w:p>
    <w:p w:rsidR="00E81497" w:rsidRPr="009B5713" w:rsidRDefault="00E81497" w:rsidP="009B5713">
      <w:pPr>
        <w:shd w:val="clear" w:color="auto" w:fill="FFFFFF" w:themeFill="background1"/>
        <w:autoSpaceDE w:val="0"/>
        <w:autoSpaceDN w:val="0"/>
        <w:adjustRightInd w:val="0"/>
        <w:ind w:firstLine="567"/>
      </w:pPr>
      <w:r w:rsidRPr="009B5713">
        <w:t>нормативу Н2;</w:t>
      </w:r>
    </w:p>
    <w:p w:rsidR="00E81497" w:rsidRPr="009B5713" w:rsidRDefault="00E81497" w:rsidP="009B5713">
      <w:pPr>
        <w:shd w:val="clear" w:color="auto" w:fill="FFFFFF" w:themeFill="background1"/>
        <w:autoSpaceDE w:val="0"/>
        <w:autoSpaceDN w:val="0"/>
        <w:adjustRightInd w:val="0"/>
        <w:ind w:firstLine="567"/>
      </w:pPr>
      <w:r w:rsidRPr="009B5713">
        <w:t>нормативу Н3;</w:t>
      </w:r>
    </w:p>
    <w:p w:rsidR="00E81497" w:rsidRPr="009B5713" w:rsidRDefault="00E81497" w:rsidP="009B5713">
      <w:pPr>
        <w:shd w:val="clear" w:color="auto" w:fill="FFFFFF" w:themeFill="background1"/>
        <w:autoSpaceDE w:val="0"/>
        <w:autoSpaceDN w:val="0"/>
        <w:adjustRightInd w:val="0"/>
        <w:ind w:firstLine="567"/>
      </w:pPr>
      <w:r w:rsidRPr="009B5713">
        <w:t>прогнозні баланси та звіти про прибутки і збитки;</w:t>
      </w:r>
    </w:p>
    <w:p w:rsidR="00E81497" w:rsidRPr="009B5713" w:rsidRDefault="00E81497" w:rsidP="009B5713">
      <w:pPr>
        <w:shd w:val="clear" w:color="auto" w:fill="FFFFFF" w:themeFill="background1"/>
        <w:autoSpaceDE w:val="0"/>
        <w:autoSpaceDN w:val="0"/>
        <w:adjustRightInd w:val="0"/>
        <w:ind w:firstLine="567"/>
      </w:pPr>
    </w:p>
    <w:p w:rsidR="00E81497" w:rsidRPr="009B5713" w:rsidRDefault="00E81497" w:rsidP="009B5713">
      <w:pPr>
        <w:shd w:val="clear" w:color="auto" w:fill="FFFFFF" w:themeFill="background1"/>
        <w:autoSpaceDE w:val="0"/>
        <w:autoSpaceDN w:val="0"/>
        <w:adjustRightInd w:val="0"/>
        <w:ind w:firstLine="567"/>
        <w:rPr>
          <w:i/>
          <w:iCs/>
        </w:rPr>
      </w:pPr>
      <w:r w:rsidRPr="009B5713">
        <w:t>3) банк, який передбачає емісію та продаж додаткових акцій, отримання прибутку від операцій з акціонерами, додає до програми капіталізації/ реструктуризації гарантійні листи від акціонерів/інвесторів щодо збільшення статутного капіталу банку та/або надання фінансової допомоги, прощення боргу, які мають містити запевнення, що акціонери/учасники банку забезпечать капіталізацію банку до передбаченого програмою капіталізації/реструктуризації необхідного рівня норматив</w:t>
      </w:r>
      <w:r w:rsidR="00D11293" w:rsidRPr="009B5713">
        <w:t>ів</w:t>
      </w:r>
      <w:r w:rsidRPr="009B5713">
        <w:t xml:space="preserve"> Н2 та Н3, визначен</w:t>
      </w:r>
      <w:r w:rsidR="00D11293" w:rsidRPr="009B5713">
        <w:t>их</w:t>
      </w:r>
      <w:r w:rsidRPr="009B5713">
        <w:t xml:space="preserve"> Національним банком за результатами оцінки стійкості банку</w:t>
      </w:r>
      <w:r w:rsidR="009973AA" w:rsidRPr="009B5713">
        <w:t>,</w:t>
      </w:r>
      <w:r w:rsidRPr="009B5713">
        <w:t xml:space="preserve"> на суму запланованого, але не отриманого прибутку в строки, установлені Національним банком та визначені в програмі капіталізації/реструктуризації;</w:t>
      </w:r>
    </w:p>
    <w:p w:rsidR="00E81497" w:rsidRPr="009B5713" w:rsidRDefault="00E81497" w:rsidP="009B5713">
      <w:pPr>
        <w:shd w:val="clear" w:color="auto" w:fill="FFFFFF" w:themeFill="background1"/>
        <w:autoSpaceDE w:val="0"/>
        <w:autoSpaceDN w:val="0"/>
        <w:adjustRightInd w:val="0"/>
        <w:ind w:firstLine="567"/>
      </w:pPr>
    </w:p>
    <w:p w:rsidR="00E81497" w:rsidRPr="009B5713" w:rsidRDefault="00E81497" w:rsidP="009B5713">
      <w:pPr>
        <w:shd w:val="clear" w:color="auto" w:fill="FFFFFF" w:themeFill="background1"/>
        <w:autoSpaceDE w:val="0"/>
        <w:autoSpaceDN w:val="0"/>
        <w:adjustRightInd w:val="0"/>
        <w:ind w:firstLine="567"/>
      </w:pPr>
      <w:r w:rsidRPr="009B5713">
        <w:lastRenderedPageBreak/>
        <w:t xml:space="preserve">4) банк, який планує збільшити регулятивний капітал шляхом залучення коштів на умовах </w:t>
      </w:r>
      <w:proofErr w:type="spellStart"/>
      <w:r w:rsidRPr="009B5713">
        <w:t>субординованого</w:t>
      </w:r>
      <w:proofErr w:type="spellEnd"/>
      <w:r w:rsidRPr="009B5713">
        <w:t xml:space="preserve"> боргу</w:t>
      </w:r>
      <w:r w:rsidR="00EC4420" w:rsidRPr="009B5713">
        <w:t>/капітального інструменту з умовами списання/конверсії</w:t>
      </w:r>
      <w:r w:rsidRPr="009B5713">
        <w:t>, додає до програми капіталізації/ реструктуризації такі документи:</w:t>
      </w:r>
    </w:p>
    <w:p w:rsidR="00E81497" w:rsidRPr="009B5713" w:rsidRDefault="00E81497" w:rsidP="009B5713">
      <w:pPr>
        <w:shd w:val="clear" w:color="auto" w:fill="FFFFFF" w:themeFill="background1"/>
        <w:autoSpaceDE w:val="0"/>
        <w:autoSpaceDN w:val="0"/>
        <w:adjustRightInd w:val="0"/>
        <w:ind w:firstLine="567"/>
      </w:pPr>
      <w:r w:rsidRPr="009B5713">
        <w:t>що містять інформацію про інвестора, суму та строк залучення коштів;</w:t>
      </w:r>
    </w:p>
    <w:p w:rsidR="00E81497" w:rsidRPr="009B5713" w:rsidRDefault="00E81497" w:rsidP="009B5713">
      <w:pPr>
        <w:shd w:val="clear" w:color="auto" w:fill="FFFFFF" w:themeFill="background1"/>
        <w:autoSpaceDE w:val="0"/>
        <w:autoSpaceDN w:val="0"/>
        <w:adjustRightInd w:val="0"/>
        <w:ind w:firstLine="567"/>
      </w:pPr>
      <w:r w:rsidRPr="009B5713">
        <w:t xml:space="preserve">що характеризують стан джерела походження коштів інвестора та підтверджують можливість виконання ним своїх зобов’язань перед банком щодо розміщення коштів на умовах </w:t>
      </w:r>
      <w:proofErr w:type="spellStart"/>
      <w:r w:rsidRPr="009B5713">
        <w:t>субординованого</w:t>
      </w:r>
      <w:proofErr w:type="spellEnd"/>
      <w:r w:rsidRPr="009B5713">
        <w:t xml:space="preserve"> боргу</w:t>
      </w:r>
      <w:r w:rsidR="00C02274" w:rsidRPr="009B5713">
        <w:t>/капітального інструменту з умовами списання/конверсії</w:t>
      </w:r>
      <w:r w:rsidRPr="009B5713">
        <w:t>;</w:t>
      </w:r>
    </w:p>
    <w:p w:rsidR="00583DB9" w:rsidRPr="009B5713" w:rsidRDefault="00583DB9" w:rsidP="009B5713">
      <w:pPr>
        <w:shd w:val="clear" w:color="auto" w:fill="FFFFFF" w:themeFill="background1"/>
        <w:autoSpaceDE w:val="0"/>
        <w:autoSpaceDN w:val="0"/>
        <w:adjustRightInd w:val="0"/>
        <w:ind w:firstLine="567"/>
      </w:pPr>
    </w:p>
    <w:p w:rsidR="00E81497" w:rsidRPr="009B5713" w:rsidRDefault="00EC4420" w:rsidP="009B5713">
      <w:pPr>
        <w:shd w:val="clear" w:color="auto" w:fill="FFFFFF" w:themeFill="background1"/>
        <w:autoSpaceDE w:val="0"/>
        <w:autoSpaceDN w:val="0"/>
        <w:adjustRightInd w:val="0"/>
        <w:ind w:firstLine="567"/>
      </w:pPr>
      <w:r w:rsidRPr="009B5713">
        <w:t>5</w:t>
      </w:r>
      <w:r w:rsidR="00E81497" w:rsidRPr="009B5713">
        <w:t>) банк, акціонери якого мають намір продати банк новим інвесторам, додає до програми капіталізації/реструктуризації такі документи:</w:t>
      </w:r>
    </w:p>
    <w:p w:rsidR="00E81497" w:rsidRPr="009B5713" w:rsidRDefault="00E81497" w:rsidP="009B5713">
      <w:pPr>
        <w:shd w:val="clear" w:color="auto" w:fill="FFFFFF" w:themeFill="background1"/>
        <w:autoSpaceDE w:val="0"/>
        <w:autoSpaceDN w:val="0"/>
        <w:adjustRightInd w:val="0"/>
        <w:ind w:firstLine="567"/>
      </w:pPr>
      <w:r w:rsidRPr="009B5713">
        <w:t>рішення загальних зборів учасників щодо продажу банку інвесторам (або</w:t>
      </w:r>
      <w:r w:rsidR="001C188C" w:rsidRPr="009B5713">
        <w:t> </w:t>
      </w:r>
      <w:r w:rsidRPr="009B5713">
        <w:t xml:space="preserve"> рішення ради банку про скликання цих зборів, якщо загальні збори учасників ще не проводилися); </w:t>
      </w:r>
    </w:p>
    <w:p w:rsidR="00E81497" w:rsidRPr="009B5713" w:rsidRDefault="00E81497" w:rsidP="009B5713">
      <w:pPr>
        <w:shd w:val="clear" w:color="auto" w:fill="FFFFFF" w:themeFill="background1"/>
        <w:autoSpaceDE w:val="0"/>
        <w:autoSpaceDN w:val="0"/>
        <w:adjustRightInd w:val="0"/>
        <w:ind w:firstLine="567"/>
      </w:pPr>
      <w:r w:rsidRPr="009B5713">
        <w:t>інформацію про нових інвесторів банку разом із документами, що характеризують їх фінансовий стан та підтверджують можливість виконання ними своїх зобов’язань перед банком. Новий інвестор, який у результаті купівлі банку набуває статусу власника істотної участі в банку, має відповідати вимогам, установленим</w:t>
      </w:r>
      <w:r w:rsidR="006F5D02" w:rsidRPr="009B5713">
        <w:t xml:space="preserve"> Положенням про ліцензування банків, затвердженим постановою Правління Національного банку від 22 грудня 2018 </w:t>
      </w:r>
      <w:r w:rsidR="00F41519" w:rsidRPr="009B5713">
        <w:rPr>
          <w:lang w:val="ru-RU"/>
        </w:rPr>
        <w:t xml:space="preserve">року </w:t>
      </w:r>
      <w:r w:rsidR="006F5D02" w:rsidRPr="009B5713">
        <w:t xml:space="preserve">№ 149 </w:t>
      </w:r>
      <w:r w:rsidR="00BA5EA7" w:rsidRPr="009B5713">
        <w:t xml:space="preserve">року </w:t>
      </w:r>
      <w:r w:rsidR="006F5D02" w:rsidRPr="009B5713">
        <w:t>(зі змінами)</w:t>
      </w:r>
      <w:r w:rsidRPr="009B5713">
        <w:t xml:space="preserve">. </w:t>
      </w:r>
    </w:p>
    <w:p w:rsidR="00E81497" w:rsidRPr="009B5713" w:rsidRDefault="00E81497" w:rsidP="009B5713">
      <w:pPr>
        <w:shd w:val="clear" w:color="auto" w:fill="FFFFFF" w:themeFill="background1"/>
        <w:autoSpaceDE w:val="0"/>
        <w:autoSpaceDN w:val="0"/>
        <w:adjustRightInd w:val="0"/>
        <w:ind w:firstLine="567"/>
      </w:pPr>
      <w:r w:rsidRPr="009B5713">
        <w:t>Банк також надає графік подання до Національного банку підтвердних документів, якщо їх немає на дату подання програми капіталізації/ реструктуризації.</w:t>
      </w:r>
    </w:p>
    <w:p w:rsidR="00E81497" w:rsidRPr="009B5713" w:rsidRDefault="00E81497" w:rsidP="009B5713">
      <w:pPr>
        <w:shd w:val="clear" w:color="auto" w:fill="FFFFFF" w:themeFill="background1"/>
        <w:autoSpaceDE w:val="0"/>
        <w:autoSpaceDN w:val="0"/>
        <w:adjustRightInd w:val="0"/>
        <w:ind w:firstLine="567"/>
      </w:pPr>
      <w:r w:rsidRPr="009B5713">
        <w:t>Національний банк має право проводити зустрічі з потенційними інвесторами для обговорення питань, пов’язаних з унесенням коштів до капіталу банку;</w:t>
      </w:r>
    </w:p>
    <w:p w:rsidR="00E81497" w:rsidRPr="009B5713" w:rsidRDefault="00E81497" w:rsidP="009B5713">
      <w:pPr>
        <w:shd w:val="clear" w:color="auto" w:fill="FFFFFF" w:themeFill="background1"/>
        <w:autoSpaceDE w:val="0"/>
        <w:autoSpaceDN w:val="0"/>
        <w:adjustRightInd w:val="0"/>
        <w:ind w:firstLine="567"/>
      </w:pPr>
    </w:p>
    <w:p w:rsidR="00E81497" w:rsidRPr="009B5713" w:rsidRDefault="00EC4420" w:rsidP="009B5713">
      <w:pPr>
        <w:shd w:val="clear" w:color="auto" w:fill="FFFFFF" w:themeFill="background1"/>
        <w:autoSpaceDE w:val="0"/>
        <w:autoSpaceDN w:val="0"/>
        <w:adjustRightInd w:val="0"/>
        <w:ind w:firstLine="567"/>
      </w:pPr>
      <w:r w:rsidRPr="009B5713">
        <w:t>6</w:t>
      </w:r>
      <w:r w:rsidR="00E81497" w:rsidRPr="009B5713">
        <w:t>) банк у разі неможливості виконання заходів у встановлені строки подає до Національного банку документи, що містять інформацію та підтверджують його можливість скористатися додатковими джерелами збільшення регулятивного</w:t>
      </w:r>
      <w:r w:rsidR="001C34D9" w:rsidRPr="009B5713">
        <w:t>/основного</w:t>
      </w:r>
      <w:r w:rsidR="00E81497" w:rsidRPr="009B5713">
        <w:t xml:space="preserve"> капіталу банку</w:t>
      </w:r>
      <w:r w:rsidR="001C188C" w:rsidRPr="009B5713">
        <w:t>;</w:t>
      </w:r>
    </w:p>
    <w:p w:rsidR="005D2ECC" w:rsidRPr="009B5713" w:rsidRDefault="005D2ECC" w:rsidP="009B5713">
      <w:pPr>
        <w:shd w:val="clear" w:color="auto" w:fill="FFFFFF" w:themeFill="background1"/>
        <w:autoSpaceDE w:val="0"/>
        <w:autoSpaceDN w:val="0"/>
        <w:adjustRightInd w:val="0"/>
        <w:ind w:firstLine="567"/>
      </w:pPr>
    </w:p>
    <w:p w:rsidR="00E81497" w:rsidRPr="009B5713" w:rsidRDefault="00EC4420" w:rsidP="009B5713">
      <w:pPr>
        <w:shd w:val="clear" w:color="auto" w:fill="FFFFFF" w:themeFill="background1"/>
        <w:autoSpaceDE w:val="0"/>
        <w:autoSpaceDN w:val="0"/>
        <w:adjustRightInd w:val="0"/>
        <w:ind w:firstLine="567"/>
      </w:pPr>
      <w:r w:rsidRPr="009B5713">
        <w:t>7</w:t>
      </w:r>
      <w:r w:rsidR="00E81497" w:rsidRPr="009B5713">
        <w:t>) обґрунтування, розрахунки, документи, що підтверджують можливість виконання кожного із запланованих заходів з капіталізації чи реструктуризації та строки їх фактичного виконання.</w:t>
      </w:r>
    </w:p>
    <w:p w:rsidR="00E81497" w:rsidRPr="009B5713" w:rsidRDefault="00E81497" w:rsidP="009B5713">
      <w:pPr>
        <w:shd w:val="clear" w:color="auto" w:fill="FFFFFF" w:themeFill="background1"/>
        <w:autoSpaceDE w:val="0"/>
        <w:autoSpaceDN w:val="0"/>
        <w:adjustRightInd w:val="0"/>
        <w:ind w:firstLine="567"/>
      </w:pPr>
    </w:p>
    <w:p w:rsidR="00E81497" w:rsidRPr="00F41519" w:rsidRDefault="00E81497" w:rsidP="00DB383B">
      <w:pPr>
        <w:pStyle w:val="af3"/>
        <w:numPr>
          <w:ilvl w:val="0"/>
          <w:numId w:val="16"/>
        </w:numPr>
        <w:shd w:val="clear" w:color="auto" w:fill="FFFFFF" w:themeFill="background1"/>
        <w:tabs>
          <w:tab w:val="left" w:pos="567"/>
        </w:tabs>
        <w:ind w:left="0" w:hanging="11"/>
        <w:contextualSpacing w:val="0"/>
        <w:jc w:val="center"/>
        <w:rPr>
          <w:bCs/>
        </w:rPr>
      </w:pPr>
      <w:r w:rsidRPr="00F41519">
        <w:rPr>
          <w:bCs/>
        </w:rPr>
        <w:t xml:space="preserve">Критерії оцінки прийнятності програми </w:t>
      </w:r>
      <w:r w:rsidRPr="00F41519">
        <w:rPr>
          <w:bCs/>
        </w:rPr>
        <w:br/>
        <w:t>капіталізації/реструктуризації банку</w:t>
      </w:r>
    </w:p>
    <w:p w:rsidR="00E81497" w:rsidRPr="00F41519" w:rsidRDefault="00E81497" w:rsidP="00FC2FC2">
      <w:pPr>
        <w:shd w:val="clear" w:color="auto" w:fill="FFFFFF" w:themeFill="background1"/>
        <w:jc w:val="right"/>
        <w:rPr>
          <w:bCs/>
          <w:i/>
        </w:rPr>
      </w:pPr>
    </w:p>
    <w:p w:rsidR="00E81497" w:rsidRPr="00F41519" w:rsidRDefault="0051334A" w:rsidP="00DB383B">
      <w:pPr>
        <w:shd w:val="clear" w:color="auto" w:fill="FFFFFF" w:themeFill="background1"/>
        <w:ind w:firstLine="567"/>
      </w:pPr>
      <w:r w:rsidRPr="00F41519">
        <w:t>13</w:t>
      </w:r>
      <w:r w:rsidR="00E81497" w:rsidRPr="00F41519">
        <w:t xml:space="preserve">. Програма капіталізації/реструктуризації банку забезпечує дотримання банком </w:t>
      </w:r>
      <w:r w:rsidR="00D57E76" w:rsidRPr="00F41519">
        <w:t xml:space="preserve">у встановлені </w:t>
      </w:r>
      <w:r w:rsidR="00543341">
        <w:t xml:space="preserve">в </w:t>
      </w:r>
      <w:r w:rsidR="00D57E76" w:rsidRPr="00F41519">
        <w:t>пункт</w:t>
      </w:r>
      <w:r w:rsidR="00543341">
        <w:t>і</w:t>
      </w:r>
      <w:r w:rsidR="00D57E76" w:rsidRPr="00F41519">
        <w:t xml:space="preserve"> 3</w:t>
      </w:r>
      <w:r w:rsidR="006F5D02" w:rsidRPr="00F41519">
        <w:t>5</w:t>
      </w:r>
      <w:r w:rsidR="004F007A" w:rsidRPr="00F41519">
        <w:t xml:space="preserve"> розділу </w:t>
      </w:r>
      <w:r w:rsidR="006F5D02" w:rsidRPr="00F41519">
        <w:t>І</w:t>
      </w:r>
      <w:r w:rsidR="006F5D02" w:rsidRPr="00F41519">
        <w:rPr>
          <w:lang w:val="en-US"/>
        </w:rPr>
        <w:t>V</w:t>
      </w:r>
      <w:r w:rsidR="006F5D02" w:rsidRPr="00F41519">
        <w:t xml:space="preserve"> </w:t>
      </w:r>
      <w:r w:rsidR="004F007A" w:rsidRPr="00F41519">
        <w:t xml:space="preserve">Правил строки значень </w:t>
      </w:r>
      <w:r w:rsidR="001C34D9" w:rsidRPr="00F41519">
        <w:rPr>
          <w:lang w:eastAsia="ru-RU"/>
        </w:rPr>
        <w:lastRenderedPageBreak/>
        <w:t>регулятивного капіталу, основного капіталу,</w:t>
      </w:r>
      <w:r w:rsidR="007C0AC0" w:rsidRPr="00F41519">
        <w:t xml:space="preserve"> </w:t>
      </w:r>
      <w:r w:rsidR="00BC47C9" w:rsidRPr="00F41519">
        <w:t>необхідних рівнів</w:t>
      </w:r>
      <w:r w:rsidR="00E81497" w:rsidRPr="00F41519">
        <w:t xml:space="preserve"> нормативів Н2 та Н3 у строк, визначений Національним банком.</w:t>
      </w:r>
    </w:p>
    <w:p w:rsidR="004F007A" w:rsidRPr="00F41519" w:rsidRDefault="004F007A" w:rsidP="00DB383B">
      <w:pPr>
        <w:pStyle w:val="af3"/>
        <w:shd w:val="clear" w:color="auto" w:fill="FFFFFF" w:themeFill="background1"/>
        <w:ind w:left="0" w:firstLine="567"/>
        <w:contextualSpacing w:val="0"/>
      </w:pPr>
    </w:p>
    <w:p w:rsidR="00E81497" w:rsidRPr="00F41519" w:rsidRDefault="0051334A" w:rsidP="00DB383B">
      <w:pPr>
        <w:shd w:val="clear" w:color="auto" w:fill="FFFFFF" w:themeFill="background1"/>
        <w:ind w:firstLine="567"/>
      </w:pPr>
      <w:r w:rsidRPr="00F41519">
        <w:t>14</w:t>
      </w:r>
      <w:r w:rsidR="00E81497" w:rsidRPr="00F41519">
        <w:t>. Наявність обґрунтованих розрахунків економічного ефекту від упровадження заходів/впливу фактичних подій, що відбулися після звітної дати до дати подання банком програми капіталізації/реструктуризації, та інших заходів, передбачених програмою капіталізації/реструктуризації банку.</w:t>
      </w:r>
    </w:p>
    <w:p w:rsidR="00E81497" w:rsidRPr="00F41519" w:rsidRDefault="00E81497" w:rsidP="00DB383B">
      <w:pPr>
        <w:shd w:val="clear" w:color="auto" w:fill="FFFFFF" w:themeFill="background1"/>
        <w:ind w:firstLine="567"/>
      </w:pPr>
    </w:p>
    <w:p w:rsidR="00E81497" w:rsidRPr="00F41519" w:rsidRDefault="0051334A" w:rsidP="00DB383B">
      <w:pPr>
        <w:shd w:val="clear" w:color="auto" w:fill="FFFFFF" w:themeFill="background1"/>
        <w:ind w:firstLine="567"/>
      </w:pPr>
      <w:r w:rsidRPr="00F41519">
        <w:t>15</w:t>
      </w:r>
      <w:r w:rsidR="00E81497" w:rsidRPr="00F41519">
        <w:t>. Наявність обґрунтованих розрахунків економічного ефекту від упровадження кожного із заходів, передбачених програмою капіталізації/ реструктуризації.</w:t>
      </w:r>
    </w:p>
    <w:p w:rsidR="00E81497" w:rsidRPr="00F41519" w:rsidRDefault="00E81497" w:rsidP="00DB383B">
      <w:pPr>
        <w:shd w:val="clear" w:color="auto" w:fill="FFFFFF" w:themeFill="background1"/>
        <w:ind w:firstLine="567"/>
      </w:pPr>
    </w:p>
    <w:p w:rsidR="00E81497" w:rsidRPr="00F41519" w:rsidRDefault="0051334A" w:rsidP="00DB383B">
      <w:pPr>
        <w:shd w:val="clear" w:color="auto" w:fill="FFFFFF" w:themeFill="background1"/>
        <w:ind w:firstLine="567"/>
      </w:pPr>
      <w:r w:rsidRPr="00F41519">
        <w:t>16</w:t>
      </w:r>
      <w:r w:rsidR="00E81497" w:rsidRPr="00F41519">
        <w:t>. Документальне підтвердження можливості реалізації запланованих заходів, зокрема:</w:t>
      </w:r>
    </w:p>
    <w:p w:rsidR="00E81497" w:rsidRPr="00F41519" w:rsidRDefault="00E81497" w:rsidP="00DB383B">
      <w:pPr>
        <w:shd w:val="clear" w:color="auto" w:fill="FFFFFF" w:themeFill="background1"/>
        <w:ind w:firstLine="567"/>
      </w:pPr>
    </w:p>
    <w:p w:rsidR="00E81497" w:rsidRPr="00F41519" w:rsidRDefault="00E81497" w:rsidP="00DB383B">
      <w:pPr>
        <w:shd w:val="clear" w:color="auto" w:fill="FFFFFF" w:themeFill="background1"/>
        <w:ind w:firstLine="567"/>
      </w:pPr>
      <w:r w:rsidRPr="00F41519">
        <w:t xml:space="preserve">1) задокументоване судження банку, що підтверджує дотримання банком установлених </w:t>
      </w:r>
      <w:r w:rsidR="00D56A53">
        <w:t xml:space="preserve">у </w:t>
      </w:r>
      <w:r w:rsidR="00D56A53" w:rsidRPr="00F41519">
        <w:t>пункт</w:t>
      </w:r>
      <w:r w:rsidR="00D56A53">
        <w:t>і</w:t>
      </w:r>
      <w:r w:rsidR="00D56A53" w:rsidRPr="00F41519">
        <w:t xml:space="preserve"> </w:t>
      </w:r>
      <w:r w:rsidRPr="00F41519">
        <w:t>2 розділу І цього додатка принципів складання програми капіталізації/реструктуризації;</w:t>
      </w:r>
    </w:p>
    <w:p w:rsidR="00E81497" w:rsidRPr="00F41519" w:rsidRDefault="00E81497" w:rsidP="00DB383B">
      <w:pPr>
        <w:shd w:val="clear" w:color="auto" w:fill="FFFFFF" w:themeFill="background1"/>
        <w:ind w:firstLine="567"/>
      </w:pPr>
    </w:p>
    <w:p w:rsidR="00E81497" w:rsidRPr="00F41519" w:rsidRDefault="00E81497" w:rsidP="00DB383B">
      <w:pPr>
        <w:shd w:val="clear" w:color="auto" w:fill="FFFFFF" w:themeFill="background1"/>
        <w:ind w:firstLine="567"/>
      </w:pPr>
      <w:r w:rsidRPr="00F41519">
        <w:t xml:space="preserve">2) підтвердження учасниками/інвесторами банку наявності коштів для капіталізації банку, у тому числі для надання фінансової допомоги; </w:t>
      </w:r>
    </w:p>
    <w:p w:rsidR="00E81497" w:rsidRPr="00F41519" w:rsidRDefault="00E81497" w:rsidP="00DB383B">
      <w:pPr>
        <w:shd w:val="clear" w:color="auto" w:fill="FFFFFF" w:themeFill="background1"/>
        <w:ind w:firstLine="567"/>
      </w:pPr>
    </w:p>
    <w:p w:rsidR="00E81497" w:rsidRPr="00F41519" w:rsidRDefault="00E81497" w:rsidP="00DB383B">
      <w:pPr>
        <w:shd w:val="clear" w:color="auto" w:fill="FFFFFF" w:themeFill="background1"/>
        <w:ind w:firstLine="567"/>
        <w:rPr>
          <w:rFonts w:eastAsiaTheme="minorEastAsia"/>
          <w:lang w:eastAsia="ru-RU"/>
        </w:rPr>
      </w:pPr>
      <w:r w:rsidRPr="00F41519">
        <w:t xml:space="preserve">3) надання </w:t>
      </w:r>
      <w:r w:rsidRPr="00F41519">
        <w:rPr>
          <w:rFonts w:eastAsiaTheme="minorEastAsia"/>
          <w:lang w:eastAsia="ru-RU"/>
        </w:rPr>
        <w:t xml:space="preserve">учасниками/інвесторами банку запевнень, що капіталізація банку не здійснюється за рахунок кредитних коштів, отриманих у цьому або іншому банку прямо або опосередковано через його пов’язаних осіб; </w:t>
      </w:r>
    </w:p>
    <w:p w:rsidR="00E81497" w:rsidRPr="00F41519" w:rsidRDefault="00E81497" w:rsidP="00DB383B">
      <w:pPr>
        <w:shd w:val="clear" w:color="auto" w:fill="FFFFFF" w:themeFill="background1"/>
        <w:ind w:firstLine="567"/>
        <w:rPr>
          <w:rFonts w:eastAsiaTheme="minorEastAsia"/>
          <w:lang w:eastAsia="ru-RU"/>
        </w:rPr>
      </w:pPr>
    </w:p>
    <w:p w:rsidR="00E81497" w:rsidRPr="00F41519" w:rsidRDefault="00E81497" w:rsidP="00DB383B">
      <w:pPr>
        <w:shd w:val="clear" w:color="auto" w:fill="FFFFFF" w:themeFill="background1"/>
        <w:ind w:firstLine="567"/>
        <w:rPr>
          <w:rFonts w:eastAsiaTheme="minorEastAsia"/>
          <w:lang w:eastAsia="ru-RU"/>
        </w:rPr>
      </w:pPr>
      <w:r w:rsidRPr="00F41519">
        <w:rPr>
          <w:rFonts w:eastAsiaTheme="minorEastAsia"/>
          <w:lang w:eastAsia="ru-RU"/>
        </w:rPr>
        <w:t>4) наявність додаткових джерел збільшення регулятивного</w:t>
      </w:r>
      <w:r w:rsidR="001C34D9" w:rsidRPr="00F41519">
        <w:rPr>
          <w:rFonts w:eastAsiaTheme="minorEastAsia"/>
          <w:lang w:eastAsia="ru-RU"/>
        </w:rPr>
        <w:t>/основного</w:t>
      </w:r>
      <w:r w:rsidRPr="00F41519">
        <w:rPr>
          <w:rFonts w:eastAsiaTheme="minorEastAsia"/>
          <w:lang w:eastAsia="ru-RU"/>
        </w:rPr>
        <w:t xml:space="preserve"> капіталу банку;</w:t>
      </w:r>
    </w:p>
    <w:p w:rsidR="00FE0394" w:rsidRDefault="00FE0394" w:rsidP="00DB383B">
      <w:pPr>
        <w:shd w:val="clear" w:color="auto" w:fill="FFFFFF" w:themeFill="background1"/>
        <w:ind w:firstLine="567"/>
        <w:rPr>
          <w:rFonts w:eastAsiaTheme="minorEastAsia"/>
          <w:lang w:eastAsia="ru-RU"/>
        </w:rPr>
      </w:pPr>
    </w:p>
    <w:p w:rsidR="00E81497" w:rsidRPr="00F41519" w:rsidRDefault="00E81497" w:rsidP="00DB383B">
      <w:pPr>
        <w:shd w:val="clear" w:color="auto" w:fill="FFFFFF" w:themeFill="background1"/>
        <w:ind w:firstLine="567"/>
        <w:rPr>
          <w:rFonts w:eastAsiaTheme="minorEastAsia"/>
          <w:lang w:eastAsia="ru-RU"/>
        </w:rPr>
      </w:pPr>
      <w:r w:rsidRPr="00F41519">
        <w:rPr>
          <w:rFonts w:eastAsiaTheme="minorEastAsia"/>
          <w:lang w:eastAsia="ru-RU"/>
        </w:rPr>
        <w:t xml:space="preserve"> 5) підтвердження намірів потенційних покупців активів банку з урахуванням ринкових цін на такі активи. Перелік майна, що планується до продажу, підтвердження, що немає обтяжень на це майно;</w:t>
      </w:r>
    </w:p>
    <w:p w:rsidR="00E81497" w:rsidRPr="00F41519" w:rsidRDefault="00E81497" w:rsidP="00DB383B">
      <w:pPr>
        <w:shd w:val="clear" w:color="auto" w:fill="FFFFFF" w:themeFill="background1"/>
        <w:ind w:firstLine="567"/>
        <w:rPr>
          <w:rFonts w:eastAsiaTheme="minorEastAsia"/>
          <w:lang w:eastAsia="ru-RU"/>
        </w:rPr>
      </w:pPr>
    </w:p>
    <w:p w:rsidR="00E81497" w:rsidRPr="00F41519" w:rsidRDefault="00E81497" w:rsidP="00DB383B">
      <w:pPr>
        <w:pStyle w:val="aff"/>
        <w:shd w:val="clear" w:color="auto" w:fill="FFFFFF" w:themeFill="background1"/>
        <w:spacing w:before="0" w:beforeAutospacing="0" w:after="0" w:afterAutospacing="0"/>
        <w:ind w:firstLine="567"/>
        <w:jc w:val="both"/>
        <w:rPr>
          <w:sz w:val="28"/>
          <w:szCs w:val="28"/>
          <w:lang w:val="uk-UA"/>
        </w:rPr>
      </w:pPr>
      <w:r w:rsidRPr="00F41519">
        <w:rPr>
          <w:sz w:val="28"/>
          <w:szCs w:val="28"/>
          <w:lang w:val="uk-UA"/>
        </w:rPr>
        <w:t xml:space="preserve">6) наявність актуальної оцінки майна (у разі продажу майна банку, що перейшло в його власність на підставі реалізації прав заставодержателя); </w:t>
      </w:r>
    </w:p>
    <w:p w:rsidR="00E81497" w:rsidRPr="00F41519" w:rsidRDefault="00E81497" w:rsidP="00DB383B">
      <w:pPr>
        <w:pStyle w:val="aff"/>
        <w:shd w:val="clear" w:color="auto" w:fill="FFFFFF" w:themeFill="background1"/>
        <w:spacing w:before="0" w:beforeAutospacing="0" w:after="0" w:afterAutospacing="0"/>
        <w:ind w:firstLine="567"/>
        <w:jc w:val="both"/>
        <w:rPr>
          <w:sz w:val="28"/>
          <w:szCs w:val="28"/>
          <w:lang w:val="uk-UA"/>
        </w:rPr>
      </w:pPr>
    </w:p>
    <w:p w:rsidR="00E81497" w:rsidRPr="00F41519" w:rsidRDefault="00E81497" w:rsidP="00DB383B">
      <w:pPr>
        <w:shd w:val="clear" w:color="auto" w:fill="FFFFFF" w:themeFill="background1"/>
        <w:ind w:firstLine="567"/>
        <w:rPr>
          <w:rFonts w:eastAsiaTheme="minorEastAsia"/>
          <w:lang w:eastAsia="ru-RU"/>
        </w:rPr>
      </w:pPr>
      <w:r w:rsidRPr="00F41519">
        <w:rPr>
          <w:rFonts w:eastAsiaTheme="minorEastAsia"/>
          <w:lang w:eastAsia="ru-RU"/>
        </w:rPr>
        <w:t>7) підтвердження дій/намірів банку щодо реструктуризації зобов’язань банку перед іншими кредиторами;</w:t>
      </w:r>
    </w:p>
    <w:p w:rsidR="00E81497" w:rsidRPr="00F41519" w:rsidRDefault="00E81497" w:rsidP="00DB383B">
      <w:pPr>
        <w:shd w:val="clear" w:color="auto" w:fill="FFFFFF" w:themeFill="background1"/>
        <w:ind w:firstLine="567"/>
        <w:rPr>
          <w:rFonts w:eastAsiaTheme="minorEastAsia"/>
          <w:lang w:eastAsia="ru-RU"/>
        </w:rPr>
      </w:pPr>
    </w:p>
    <w:p w:rsidR="00E81497" w:rsidRPr="00F41519" w:rsidRDefault="00E81497" w:rsidP="00DB383B">
      <w:pPr>
        <w:pStyle w:val="aff"/>
        <w:shd w:val="clear" w:color="auto" w:fill="FFFFFF" w:themeFill="background1"/>
        <w:spacing w:before="0" w:beforeAutospacing="0" w:after="0" w:afterAutospacing="0"/>
        <w:ind w:firstLine="567"/>
        <w:jc w:val="both"/>
        <w:rPr>
          <w:sz w:val="28"/>
          <w:szCs w:val="28"/>
          <w:lang w:val="uk-UA"/>
        </w:rPr>
      </w:pPr>
      <w:r w:rsidRPr="00F41519">
        <w:rPr>
          <w:sz w:val="28"/>
          <w:szCs w:val="28"/>
          <w:lang w:val="uk-UA"/>
        </w:rPr>
        <w:t>8) наявність обґрунтувань щодо скорочення витрат на утримання персоналу, адміністративних витрат, основних засобів, доцільності упровадження нових продуктів;</w:t>
      </w:r>
    </w:p>
    <w:p w:rsidR="00E81497" w:rsidRPr="00F41519" w:rsidRDefault="00E81497" w:rsidP="00DB383B">
      <w:pPr>
        <w:pStyle w:val="aff"/>
        <w:shd w:val="clear" w:color="auto" w:fill="FFFFFF" w:themeFill="background1"/>
        <w:spacing w:before="0" w:beforeAutospacing="0" w:after="0" w:afterAutospacing="0"/>
        <w:ind w:firstLine="567"/>
        <w:jc w:val="both"/>
        <w:rPr>
          <w:sz w:val="28"/>
          <w:szCs w:val="28"/>
          <w:lang w:val="uk-UA"/>
        </w:rPr>
      </w:pPr>
    </w:p>
    <w:p w:rsidR="00E81497" w:rsidRPr="00F41519" w:rsidRDefault="00E81497" w:rsidP="00DB383B">
      <w:pPr>
        <w:shd w:val="clear" w:color="auto" w:fill="FFFFFF" w:themeFill="background1"/>
        <w:ind w:firstLine="567"/>
        <w:rPr>
          <w:rFonts w:eastAsiaTheme="minorEastAsia"/>
          <w:lang w:eastAsia="ru-RU"/>
        </w:rPr>
      </w:pPr>
      <w:r w:rsidRPr="00F41519">
        <w:rPr>
          <w:rFonts w:eastAsiaTheme="minorEastAsia"/>
          <w:lang w:eastAsia="ru-RU"/>
        </w:rPr>
        <w:t xml:space="preserve">9) якість управління кредитним ризиком у банку з урахуванням результатів оцінки стійкості задовільна. Якщо така оцінка незадовільна, то оцінка плану капіталізації/реструктуризації банку потребує </w:t>
      </w:r>
      <w:proofErr w:type="spellStart"/>
      <w:r w:rsidRPr="00F41519">
        <w:rPr>
          <w:rFonts w:eastAsiaTheme="minorEastAsia"/>
          <w:lang w:eastAsia="ru-RU"/>
        </w:rPr>
        <w:t>поглибленішого</w:t>
      </w:r>
      <w:proofErr w:type="spellEnd"/>
      <w:r w:rsidRPr="00F41519">
        <w:rPr>
          <w:rFonts w:eastAsiaTheme="minorEastAsia"/>
          <w:lang w:eastAsia="ru-RU"/>
        </w:rPr>
        <w:t xml:space="preserve"> аналізу.</w:t>
      </w:r>
    </w:p>
    <w:p w:rsidR="00E81497" w:rsidRPr="00F41519" w:rsidRDefault="00E81497" w:rsidP="00DB383B">
      <w:pPr>
        <w:shd w:val="clear" w:color="auto" w:fill="FFFFFF" w:themeFill="background1"/>
        <w:ind w:firstLine="567"/>
        <w:rPr>
          <w:rFonts w:eastAsiaTheme="minorEastAsia"/>
          <w:i/>
          <w:lang w:eastAsia="ru-RU"/>
        </w:rPr>
      </w:pPr>
    </w:p>
    <w:p w:rsidR="00807303" w:rsidRPr="00F41519" w:rsidRDefault="0051334A" w:rsidP="00DB383B">
      <w:pPr>
        <w:pStyle w:val="aff"/>
        <w:shd w:val="clear" w:color="auto" w:fill="FFFFFF" w:themeFill="background1"/>
        <w:spacing w:before="0" w:beforeAutospacing="0" w:after="0" w:afterAutospacing="0"/>
        <w:ind w:firstLine="567"/>
        <w:jc w:val="both"/>
        <w:rPr>
          <w:sz w:val="28"/>
          <w:szCs w:val="28"/>
          <w:lang w:val="uk-UA"/>
        </w:rPr>
      </w:pPr>
      <w:r w:rsidRPr="00F41519">
        <w:rPr>
          <w:sz w:val="28"/>
          <w:szCs w:val="28"/>
          <w:lang w:val="uk-UA"/>
        </w:rPr>
        <w:t>17</w:t>
      </w:r>
      <w:r w:rsidR="00807303" w:rsidRPr="00F41519">
        <w:rPr>
          <w:sz w:val="28"/>
          <w:szCs w:val="28"/>
          <w:lang w:val="uk-UA"/>
        </w:rPr>
        <w:t>. Національний банк розглядає заход</w:t>
      </w:r>
      <w:r w:rsidR="00117228" w:rsidRPr="00F41519">
        <w:rPr>
          <w:sz w:val="28"/>
          <w:szCs w:val="28"/>
          <w:lang w:val="uk-UA"/>
        </w:rPr>
        <w:t>и</w:t>
      </w:r>
      <w:r w:rsidR="00807303" w:rsidRPr="00F41519">
        <w:rPr>
          <w:sz w:val="28"/>
          <w:szCs w:val="28"/>
          <w:lang w:val="uk-UA"/>
        </w:rPr>
        <w:t>, передбачен</w:t>
      </w:r>
      <w:r w:rsidR="00117228" w:rsidRPr="00F41519">
        <w:rPr>
          <w:sz w:val="28"/>
          <w:szCs w:val="28"/>
          <w:lang w:val="uk-UA"/>
        </w:rPr>
        <w:t>і</w:t>
      </w:r>
      <w:r w:rsidR="00807303" w:rsidRPr="00F41519">
        <w:rPr>
          <w:sz w:val="28"/>
          <w:szCs w:val="28"/>
          <w:lang w:val="uk-UA"/>
        </w:rPr>
        <w:t xml:space="preserve"> програмою капіталізації/реструктуризації банку, та визначає їх прийнятність/ неприйнятність, а також здійснює верифікацію упроваджених банком заходів/</w:t>
      </w:r>
      <w:r w:rsidR="00117228" w:rsidRPr="00F41519">
        <w:rPr>
          <w:sz w:val="28"/>
          <w:szCs w:val="28"/>
          <w:lang w:val="uk-UA"/>
        </w:rPr>
        <w:t xml:space="preserve"> </w:t>
      </w:r>
      <w:r w:rsidR="00807303" w:rsidRPr="00F41519">
        <w:rPr>
          <w:sz w:val="28"/>
          <w:szCs w:val="28"/>
          <w:lang w:val="uk-UA"/>
        </w:rPr>
        <w:t xml:space="preserve">фактичних подій, що відбулися після звітної дати до дати подання банком програми капіталізації/реструктуризації. </w:t>
      </w:r>
    </w:p>
    <w:p w:rsidR="00807303" w:rsidRPr="00F41519" w:rsidRDefault="00807303" w:rsidP="00DB383B">
      <w:pPr>
        <w:shd w:val="clear" w:color="auto" w:fill="FFFFFF" w:themeFill="background1"/>
        <w:ind w:firstLine="567"/>
        <w:rPr>
          <w:rFonts w:eastAsiaTheme="minorEastAsia"/>
          <w:i/>
          <w:lang w:eastAsia="ru-RU"/>
        </w:rPr>
      </w:pPr>
    </w:p>
    <w:p w:rsidR="00E81497" w:rsidRPr="00F41519" w:rsidRDefault="00E81497" w:rsidP="00FC2FC2">
      <w:pPr>
        <w:shd w:val="clear" w:color="auto" w:fill="FFFFFF" w:themeFill="background1"/>
        <w:jc w:val="center"/>
        <w:rPr>
          <w:bCs/>
        </w:rPr>
      </w:pPr>
      <w:r w:rsidRPr="00F41519">
        <w:rPr>
          <w:bCs/>
        </w:rPr>
        <w:t xml:space="preserve">IV. Контроль за виконанням банком </w:t>
      </w:r>
    </w:p>
    <w:p w:rsidR="00E81497" w:rsidRPr="00F41519" w:rsidRDefault="00E81497" w:rsidP="00FC2FC2">
      <w:pPr>
        <w:shd w:val="clear" w:color="auto" w:fill="FFFFFF" w:themeFill="background1"/>
        <w:jc w:val="center"/>
        <w:rPr>
          <w:rFonts w:eastAsiaTheme="minorEastAsia"/>
          <w:lang w:eastAsia="ru-RU"/>
        </w:rPr>
      </w:pPr>
      <w:r w:rsidRPr="00F41519">
        <w:rPr>
          <w:bCs/>
        </w:rPr>
        <w:t>програми капіталізації</w:t>
      </w:r>
      <w:r w:rsidRPr="00F41519">
        <w:rPr>
          <w:rFonts w:eastAsiaTheme="minorEastAsia"/>
          <w:lang w:eastAsia="ru-RU"/>
        </w:rPr>
        <w:t>/реструктуризації</w:t>
      </w:r>
    </w:p>
    <w:p w:rsidR="00E81497" w:rsidRPr="00F41519" w:rsidRDefault="00E81497" w:rsidP="00DB383B">
      <w:pPr>
        <w:shd w:val="clear" w:color="auto" w:fill="FFFFFF" w:themeFill="background1"/>
        <w:ind w:firstLine="567"/>
        <w:jc w:val="center"/>
        <w:rPr>
          <w:rFonts w:eastAsiaTheme="minorEastAsia"/>
          <w:lang w:eastAsia="ru-RU"/>
        </w:rPr>
      </w:pPr>
    </w:p>
    <w:p w:rsidR="00E81497" w:rsidRPr="00F41519" w:rsidRDefault="00BC259C" w:rsidP="00DB383B">
      <w:pPr>
        <w:pStyle w:val="af3"/>
        <w:numPr>
          <w:ilvl w:val="0"/>
          <w:numId w:val="45"/>
        </w:numPr>
        <w:shd w:val="clear" w:color="auto" w:fill="FFFFFF" w:themeFill="background1"/>
        <w:ind w:left="0" w:firstLine="567"/>
      </w:pPr>
      <w:r w:rsidRPr="00F41519">
        <w:t>Банк забезпечує</w:t>
      </w:r>
      <w:r w:rsidR="00E81497" w:rsidRPr="00F41519">
        <w:t xml:space="preserve"> виконання погодженої Національним банком програми капіталізації</w:t>
      </w:r>
      <w:r w:rsidR="00E81497" w:rsidRPr="00F41519">
        <w:rPr>
          <w:rFonts w:eastAsiaTheme="minorEastAsia"/>
          <w:lang w:eastAsia="ru-RU"/>
        </w:rPr>
        <w:t>/реструктуризації</w:t>
      </w:r>
      <w:r w:rsidRPr="00F41519">
        <w:t xml:space="preserve"> та подає</w:t>
      </w:r>
      <w:r w:rsidR="00E81497" w:rsidRPr="00F41519">
        <w:t xml:space="preserve"> до Національ</w:t>
      </w:r>
      <w:r w:rsidRPr="00F41519">
        <w:t>ного банку детальні звіти про</w:t>
      </w:r>
      <w:r w:rsidR="00E81497" w:rsidRPr="00F41519">
        <w:t xml:space="preserve"> </w:t>
      </w:r>
      <w:r w:rsidR="004F2B4F" w:rsidRPr="00F41519">
        <w:t xml:space="preserve">її </w:t>
      </w:r>
      <w:r w:rsidR="00E81497" w:rsidRPr="00F41519">
        <w:t>виконання станом на перше число кожного місяця протягом строку виконання програми до 20 числа місяця, наступного за звітним, та станом на 01 січня року, наступного за поточним</w:t>
      </w:r>
      <w:r w:rsidR="00D57E76" w:rsidRPr="00F41519">
        <w:t>, –</w:t>
      </w:r>
      <w:r w:rsidR="00E81497" w:rsidRPr="00F41519">
        <w:t xml:space="preserve"> до 29 січня.</w:t>
      </w:r>
    </w:p>
    <w:p w:rsidR="00E81497" w:rsidRPr="00F41519" w:rsidRDefault="00E81497" w:rsidP="00DB383B">
      <w:pPr>
        <w:pStyle w:val="af3"/>
        <w:shd w:val="clear" w:color="auto" w:fill="FFFFFF" w:themeFill="background1"/>
        <w:ind w:left="0" w:firstLine="567"/>
      </w:pPr>
    </w:p>
    <w:p w:rsidR="00E81497" w:rsidRPr="00F41519" w:rsidRDefault="00E81497" w:rsidP="00DB383B">
      <w:pPr>
        <w:pStyle w:val="af3"/>
        <w:numPr>
          <w:ilvl w:val="0"/>
          <w:numId w:val="45"/>
        </w:numPr>
        <w:shd w:val="clear" w:color="auto" w:fill="FFFFFF" w:themeFill="background1"/>
        <w:ind w:left="0" w:firstLine="567"/>
        <w:contextualSpacing w:val="0"/>
      </w:pPr>
      <w:r w:rsidRPr="00F41519">
        <w:t>Національний банк забезпечує контроль та моніторинг за виконанням банком заходів, передбачених програмою капіталізації</w:t>
      </w:r>
      <w:r w:rsidRPr="00F41519">
        <w:rPr>
          <w:rFonts w:eastAsiaTheme="minorEastAsia"/>
          <w:lang w:eastAsia="ru-RU"/>
        </w:rPr>
        <w:t>/реструктуризації</w:t>
      </w:r>
      <w:r w:rsidRPr="00F41519">
        <w:t xml:space="preserve"> шляхом: </w:t>
      </w:r>
    </w:p>
    <w:p w:rsidR="00E81497" w:rsidRPr="00F41519" w:rsidRDefault="00E81497" w:rsidP="00DB383B">
      <w:pPr>
        <w:pStyle w:val="af3"/>
        <w:shd w:val="clear" w:color="auto" w:fill="FFFFFF" w:themeFill="background1"/>
        <w:ind w:left="0" w:firstLine="567"/>
        <w:contextualSpacing w:val="0"/>
      </w:pPr>
    </w:p>
    <w:p w:rsidR="00E81497" w:rsidRPr="00F41519" w:rsidRDefault="00E81497" w:rsidP="00DB383B">
      <w:pPr>
        <w:shd w:val="clear" w:color="auto" w:fill="FFFFFF" w:themeFill="background1"/>
        <w:ind w:firstLine="567"/>
        <w:rPr>
          <w:rFonts w:eastAsiaTheme="minorEastAsia"/>
          <w:lang w:eastAsia="ru-RU"/>
        </w:rPr>
      </w:pPr>
      <w:r w:rsidRPr="00F41519">
        <w:rPr>
          <w:rFonts w:eastAsiaTheme="minorEastAsia"/>
          <w:lang w:eastAsia="ru-RU"/>
        </w:rPr>
        <w:t xml:space="preserve">1) аналізу звіту банку про виконання </w:t>
      </w:r>
      <w:r w:rsidRPr="00F41519">
        <w:rPr>
          <w:bCs/>
        </w:rPr>
        <w:t>програми капіталізації</w:t>
      </w:r>
      <w:r w:rsidRPr="00F41519">
        <w:rPr>
          <w:rFonts w:eastAsiaTheme="minorEastAsia"/>
          <w:lang w:eastAsia="ru-RU"/>
        </w:rPr>
        <w:t>/ реструктуризації</w:t>
      </w:r>
      <w:r w:rsidRPr="00F41519">
        <w:rPr>
          <w:bCs/>
        </w:rPr>
        <w:t>,</w:t>
      </w:r>
      <w:r w:rsidRPr="00F41519">
        <w:rPr>
          <w:rFonts w:eastAsiaTheme="minorEastAsia"/>
          <w:lang w:eastAsia="ru-RU"/>
        </w:rPr>
        <w:t xml:space="preserve"> інформації та документів, які підтверджують виконання запланованих заходів; </w:t>
      </w:r>
    </w:p>
    <w:p w:rsidR="00E81497" w:rsidRPr="00F41519" w:rsidRDefault="00E81497" w:rsidP="00DB383B">
      <w:pPr>
        <w:shd w:val="clear" w:color="auto" w:fill="FFFFFF" w:themeFill="background1"/>
        <w:ind w:firstLine="567"/>
        <w:rPr>
          <w:rFonts w:eastAsiaTheme="minorEastAsia"/>
          <w:lang w:eastAsia="ru-RU"/>
        </w:rPr>
      </w:pPr>
    </w:p>
    <w:p w:rsidR="00E81497" w:rsidRPr="00F41519" w:rsidRDefault="00E81497" w:rsidP="00DB383B">
      <w:pPr>
        <w:shd w:val="clear" w:color="auto" w:fill="FFFFFF" w:themeFill="background1"/>
        <w:ind w:firstLine="567"/>
        <w:rPr>
          <w:rFonts w:eastAsiaTheme="minorEastAsia"/>
          <w:lang w:eastAsia="ru-RU"/>
        </w:rPr>
      </w:pPr>
      <w:r w:rsidRPr="00F41519">
        <w:rPr>
          <w:rFonts w:eastAsiaTheme="minorEastAsia"/>
          <w:lang w:eastAsia="ru-RU"/>
        </w:rPr>
        <w:t xml:space="preserve">2) аналізу активних операцій, які здійснені банком після дати оцінки якості активів банку, їх класифікації та розміру кредитного ризику за ними; </w:t>
      </w:r>
    </w:p>
    <w:p w:rsidR="00E81497" w:rsidRPr="00F41519" w:rsidRDefault="00E81497" w:rsidP="00DB383B">
      <w:pPr>
        <w:shd w:val="clear" w:color="auto" w:fill="FFFFFF" w:themeFill="background1"/>
        <w:ind w:firstLine="567"/>
        <w:rPr>
          <w:rFonts w:eastAsiaTheme="minorEastAsia"/>
          <w:lang w:eastAsia="ru-RU"/>
        </w:rPr>
      </w:pPr>
    </w:p>
    <w:p w:rsidR="00E81497" w:rsidRPr="00F41519" w:rsidRDefault="00E81497" w:rsidP="00DB383B">
      <w:pPr>
        <w:pStyle w:val="af3"/>
        <w:numPr>
          <w:ilvl w:val="0"/>
          <w:numId w:val="15"/>
        </w:numPr>
        <w:shd w:val="clear" w:color="auto" w:fill="FFFFFF" w:themeFill="background1"/>
        <w:ind w:left="0" w:firstLine="567"/>
        <w:rPr>
          <w:rFonts w:eastAsiaTheme="minorEastAsia"/>
          <w:lang w:eastAsia="ru-RU"/>
        </w:rPr>
      </w:pPr>
      <w:r w:rsidRPr="00F41519">
        <w:rPr>
          <w:rFonts w:eastAsiaTheme="minorEastAsia"/>
          <w:lang w:eastAsia="ru-RU"/>
        </w:rPr>
        <w:t xml:space="preserve"> аналізу статистичної звітності банку, що встановлена нормативно-правовими актами Національного банку</w:t>
      </w:r>
      <w:r w:rsidR="00BB6BC3" w:rsidRPr="00F41519">
        <w:rPr>
          <w:rFonts w:eastAsiaTheme="minorEastAsia"/>
          <w:lang w:eastAsia="ru-RU"/>
        </w:rPr>
        <w:t xml:space="preserve"> з питань</w:t>
      </w:r>
      <w:r w:rsidR="00821B1D" w:rsidRPr="00F41519">
        <w:rPr>
          <w:rFonts w:eastAsiaTheme="minorEastAsia"/>
          <w:lang w:eastAsia="ru-RU"/>
        </w:rPr>
        <w:t xml:space="preserve"> організації статистичної звітності, що подається до Національного банку</w:t>
      </w:r>
      <w:r w:rsidRPr="00F41519">
        <w:rPr>
          <w:rFonts w:eastAsiaTheme="minorEastAsia"/>
          <w:lang w:eastAsia="ru-RU"/>
        </w:rPr>
        <w:t>;</w:t>
      </w:r>
    </w:p>
    <w:p w:rsidR="00E81497" w:rsidRPr="00F41519" w:rsidRDefault="00E81497" w:rsidP="00DB383B">
      <w:pPr>
        <w:pStyle w:val="af3"/>
        <w:shd w:val="clear" w:color="auto" w:fill="FFFFFF" w:themeFill="background1"/>
        <w:ind w:left="0" w:firstLine="567"/>
        <w:rPr>
          <w:rFonts w:eastAsiaTheme="minorEastAsia"/>
          <w:lang w:eastAsia="ru-RU"/>
        </w:rPr>
      </w:pPr>
    </w:p>
    <w:p w:rsidR="00E81497" w:rsidRPr="00F41519" w:rsidRDefault="00E81497" w:rsidP="00DB383B">
      <w:pPr>
        <w:pStyle w:val="af3"/>
        <w:numPr>
          <w:ilvl w:val="0"/>
          <w:numId w:val="15"/>
        </w:numPr>
        <w:shd w:val="clear" w:color="auto" w:fill="FFFFFF" w:themeFill="background1"/>
        <w:ind w:left="0" w:firstLine="567"/>
        <w:rPr>
          <w:rFonts w:eastAsiaTheme="minorEastAsia"/>
          <w:lang w:eastAsia="ru-RU"/>
        </w:rPr>
      </w:pPr>
      <w:r w:rsidRPr="00F41519">
        <w:rPr>
          <w:rFonts w:eastAsiaTheme="minorEastAsia"/>
          <w:lang w:eastAsia="ru-RU"/>
        </w:rPr>
        <w:t xml:space="preserve">проведення інспекційних перевірок, у тому числі позапланових. </w:t>
      </w:r>
    </w:p>
    <w:p w:rsidR="00E81497" w:rsidRPr="00F41519" w:rsidRDefault="00E81497" w:rsidP="00DB383B">
      <w:pPr>
        <w:pStyle w:val="af3"/>
        <w:shd w:val="clear" w:color="auto" w:fill="FFFFFF" w:themeFill="background1"/>
        <w:ind w:left="0" w:firstLine="567"/>
        <w:rPr>
          <w:rFonts w:eastAsiaTheme="minorEastAsia"/>
          <w:lang w:eastAsia="ru-RU"/>
        </w:rPr>
      </w:pPr>
    </w:p>
    <w:p w:rsidR="00E81497" w:rsidRPr="00F41519" w:rsidRDefault="0051334A" w:rsidP="00DB383B">
      <w:pPr>
        <w:shd w:val="clear" w:color="auto" w:fill="FFFFFF" w:themeFill="background1"/>
        <w:ind w:firstLine="567"/>
      </w:pPr>
      <w:r w:rsidRPr="00F41519">
        <w:t xml:space="preserve">20. </w:t>
      </w:r>
      <w:r w:rsidR="00E81497" w:rsidRPr="00F41519">
        <w:t>Національний банк визначає активні операції, що підлягають аналізу/перевірці, з урахуванням розміру та характеру здійснюваних банком операцій.</w:t>
      </w:r>
    </w:p>
    <w:p w:rsidR="00E81497" w:rsidRPr="00F41519" w:rsidRDefault="00E81497" w:rsidP="00DB383B">
      <w:pPr>
        <w:pStyle w:val="af3"/>
        <w:shd w:val="clear" w:color="auto" w:fill="FFFFFF" w:themeFill="background1"/>
        <w:ind w:left="0" w:firstLine="567"/>
        <w:contextualSpacing w:val="0"/>
      </w:pPr>
    </w:p>
    <w:p w:rsidR="003D1D60" w:rsidRPr="00F41519" w:rsidRDefault="0051334A" w:rsidP="00DB383B">
      <w:pPr>
        <w:shd w:val="clear" w:color="auto" w:fill="FFFFFF" w:themeFill="background1"/>
        <w:ind w:firstLine="567"/>
        <w:rPr>
          <w:rFonts w:eastAsia="Calibri"/>
          <w:lang w:eastAsia="ru-RU"/>
        </w:rPr>
      </w:pPr>
      <w:r w:rsidRPr="00F41519">
        <w:lastRenderedPageBreak/>
        <w:t xml:space="preserve">21. </w:t>
      </w:r>
      <w:r w:rsidR="00E81497" w:rsidRPr="00F41519">
        <w:t>Національний банк під час аналізу звіту банку про виконання програми капіталізації</w:t>
      </w:r>
      <w:r w:rsidR="00E81497" w:rsidRPr="00F41519">
        <w:rPr>
          <w:rFonts w:eastAsiaTheme="minorEastAsia"/>
          <w:lang w:eastAsia="ru-RU"/>
        </w:rPr>
        <w:t>/реструктуризації</w:t>
      </w:r>
      <w:r w:rsidR="00E81497" w:rsidRPr="00F41519">
        <w:t xml:space="preserve"> має право враховувати вжиті банком заходи, які не були передбачені в програмі капіталізації</w:t>
      </w:r>
      <w:r w:rsidR="00E81497" w:rsidRPr="00F41519">
        <w:rPr>
          <w:rFonts w:eastAsiaTheme="minorEastAsia"/>
          <w:lang w:eastAsia="ru-RU"/>
        </w:rPr>
        <w:t>/реструктуризації</w:t>
      </w:r>
      <w:r w:rsidR="00E81497" w:rsidRPr="00F41519">
        <w:t>, якщо вони за результатами їх верифікації будуть визнані Національним банком прийнятними та достатніми.</w:t>
      </w:r>
    </w:p>
    <w:sectPr w:rsidR="003D1D60" w:rsidRPr="00F41519" w:rsidSect="00020763">
      <w:headerReference w:type="default" r:id="rId21"/>
      <w:headerReference w:type="first" r:id="rId22"/>
      <w:pgSz w:w="11906" w:h="16838" w:code="9"/>
      <w:pgMar w:top="567" w:right="567" w:bottom="1701" w:left="1701" w:header="567"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EAB" w:rsidRDefault="00D11EAB" w:rsidP="00E53CCD">
      <w:r>
        <w:separator/>
      </w:r>
    </w:p>
  </w:endnote>
  <w:endnote w:type="continuationSeparator" w:id="0">
    <w:p w:rsidR="00D11EAB" w:rsidRDefault="00D11EAB"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Lucidasans"/>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A7" w:rsidRPr="0076356A" w:rsidRDefault="000B7EA7" w:rsidP="003C10F1">
    <w:pPr>
      <w:pStyle w:val="a5"/>
      <w:tabs>
        <w:tab w:val="clear" w:pos="4819"/>
      </w:tabs>
      <w:jc w:val="right"/>
      <w:rPr>
        <w:color w:val="FFFFFF" w:themeColor="background1"/>
      </w:rPr>
    </w:pPr>
    <w:r w:rsidRPr="0076356A">
      <w:rPr>
        <w:color w:val="FFFFFF" w:themeColor="background1"/>
      </w:rPr>
      <w:t>Шаблон</w:t>
    </w:r>
  </w:p>
  <w:p w:rsidR="000B7EA7" w:rsidRPr="00A02655" w:rsidRDefault="000B7EA7" w:rsidP="00A02655">
    <w:pPr>
      <w:pStyle w:val="a7"/>
      <w:jc w:val="right"/>
      <w:rPr>
        <w:color w:val="FFFFFF" w:themeColor="background1"/>
      </w:rPr>
    </w:pPr>
    <w:r w:rsidRPr="00A02655">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EAB" w:rsidRDefault="00D11EAB" w:rsidP="00E53CCD">
      <w:r>
        <w:separator/>
      </w:r>
    </w:p>
  </w:footnote>
  <w:footnote w:type="continuationSeparator" w:id="0">
    <w:p w:rsidR="00D11EAB" w:rsidRDefault="00D11EAB"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rsidR="000B7EA7" w:rsidRDefault="000B7EA7">
        <w:pPr>
          <w:pStyle w:val="a5"/>
          <w:jc w:val="center"/>
        </w:pPr>
        <w:r w:rsidRPr="007008D6">
          <w:fldChar w:fldCharType="begin"/>
        </w:r>
        <w:r w:rsidRPr="007008D6">
          <w:instrText xml:space="preserve"> PAGE   \* MERGEFORMAT </w:instrText>
        </w:r>
        <w:r w:rsidRPr="007008D6">
          <w:fldChar w:fldCharType="separate"/>
        </w:r>
        <w:r w:rsidR="00787452">
          <w:rPr>
            <w:noProof/>
          </w:rPr>
          <w:t>2</w:t>
        </w:r>
        <w:r w:rsidRPr="007008D6">
          <w:fldChar w:fldCharType="end"/>
        </w:r>
      </w:p>
    </w:sdtContent>
  </w:sdt>
  <w:p w:rsidR="000B7EA7" w:rsidRPr="00F41519" w:rsidRDefault="000B7EA7" w:rsidP="00F41519">
    <w:pPr>
      <w:pStyle w:val="a5"/>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A7" w:rsidRDefault="000B7EA7">
    <w:pPr>
      <w:pStyle w:val="a5"/>
    </w:pPr>
  </w:p>
  <w:p w:rsidR="000B7EA7" w:rsidRDefault="000B7EA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A7" w:rsidRPr="006C35C5" w:rsidRDefault="000B7EA7" w:rsidP="006C35C5">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535362"/>
      <w:docPartObj>
        <w:docPartGallery w:val="Page Numbers (Top of Page)"/>
        <w:docPartUnique/>
      </w:docPartObj>
    </w:sdtPr>
    <w:sdtEndPr/>
    <w:sdtContent>
      <w:p w:rsidR="000B7EA7" w:rsidRDefault="000B7EA7">
        <w:pPr>
          <w:pStyle w:val="a5"/>
          <w:jc w:val="center"/>
        </w:pPr>
        <w:r w:rsidRPr="007008D6">
          <w:fldChar w:fldCharType="begin"/>
        </w:r>
        <w:r w:rsidRPr="007008D6">
          <w:instrText xml:space="preserve"> PAGE   \* MERGEFORMAT </w:instrText>
        </w:r>
        <w:r w:rsidRPr="007008D6">
          <w:fldChar w:fldCharType="separate"/>
        </w:r>
        <w:r w:rsidR="00787452">
          <w:rPr>
            <w:noProof/>
          </w:rPr>
          <w:t>16</w:t>
        </w:r>
        <w:r w:rsidRPr="007008D6">
          <w:fldChar w:fldCharType="end"/>
        </w:r>
      </w:p>
    </w:sdtContent>
  </w:sdt>
  <w:p w:rsidR="000B7EA7" w:rsidRPr="00F41519" w:rsidRDefault="000B7EA7" w:rsidP="00F41519">
    <w:pPr>
      <w:pStyle w:val="a5"/>
      <w:jc w:val="right"/>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212218"/>
      <w:docPartObj>
        <w:docPartGallery w:val="Page Numbers (Top of Page)"/>
        <w:docPartUnique/>
      </w:docPartObj>
    </w:sdtPr>
    <w:sdtEndPr/>
    <w:sdtContent>
      <w:p w:rsidR="000B7EA7" w:rsidRDefault="000B7EA7">
        <w:pPr>
          <w:pStyle w:val="a5"/>
          <w:jc w:val="center"/>
        </w:pPr>
        <w:r w:rsidRPr="007008D6">
          <w:fldChar w:fldCharType="begin"/>
        </w:r>
        <w:r w:rsidRPr="007008D6">
          <w:instrText xml:space="preserve"> PAGE   \* MERGEFORMAT </w:instrText>
        </w:r>
        <w:r w:rsidRPr="007008D6">
          <w:fldChar w:fldCharType="separate"/>
        </w:r>
        <w:r w:rsidR="00787452">
          <w:rPr>
            <w:noProof/>
          </w:rPr>
          <w:t>11</w:t>
        </w:r>
        <w:r w:rsidRPr="007008D6">
          <w:fldChar w:fldCharType="end"/>
        </w:r>
      </w:p>
    </w:sdtContent>
  </w:sdt>
  <w:p w:rsidR="000B7EA7" w:rsidRPr="00B77108" w:rsidRDefault="000B7EA7" w:rsidP="00020763">
    <w:pPr>
      <w:pStyle w:val="a5"/>
      <w:spacing w:after="120"/>
      <w:jc w:val="right"/>
    </w:pPr>
    <w:r>
      <w:t>Продовження додатка</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A7" w:rsidRPr="00020763" w:rsidRDefault="000B7EA7" w:rsidP="0002076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3EF"/>
    <w:multiLevelType w:val="hybridMultilevel"/>
    <w:tmpl w:val="DF988358"/>
    <w:lvl w:ilvl="0" w:tplc="057CCBD2">
      <w:start w:val="1"/>
      <w:numFmt w:val="decimal"/>
      <w:lvlText w:val="%1."/>
      <w:lvlJc w:val="left"/>
      <w:pPr>
        <w:ind w:left="1069" w:hanging="360"/>
      </w:pPr>
      <w:rPr>
        <w:rFonts w:cs="Times New Roman" w:hint="default"/>
        <w:sz w:val="28"/>
        <w:szCs w:val="28"/>
      </w:rPr>
    </w:lvl>
    <w:lvl w:ilvl="1" w:tplc="04220019" w:tentative="1">
      <w:start w:val="1"/>
      <w:numFmt w:val="lowerLetter"/>
      <w:lvlText w:val="%2."/>
      <w:lvlJc w:val="left"/>
      <w:pPr>
        <w:ind w:left="1298" w:hanging="360"/>
      </w:pPr>
      <w:rPr>
        <w:rFonts w:cs="Times New Roman"/>
      </w:rPr>
    </w:lvl>
    <w:lvl w:ilvl="2" w:tplc="0422001B" w:tentative="1">
      <w:start w:val="1"/>
      <w:numFmt w:val="lowerRoman"/>
      <w:lvlText w:val="%3."/>
      <w:lvlJc w:val="right"/>
      <w:pPr>
        <w:ind w:left="2018" w:hanging="180"/>
      </w:pPr>
      <w:rPr>
        <w:rFonts w:cs="Times New Roman"/>
      </w:rPr>
    </w:lvl>
    <w:lvl w:ilvl="3" w:tplc="0422000F" w:tentative="1">
      <w:start w:val="1"/>
      <w:numFmt w:val="decimal"/>
      <w:lvlText w:val="%4."/>
      <w:lvlJc w:val="left"/>
      <w:pPr>
        <w:ind w:left="2738" w:hanging="360"/>
      </w:pPr>
      <w:rPr>
        <w:rFonts w:cs="Times New Roman"/>
      </w:rPr>
    </w:lvl>
    <w:lvl w:ilvl="4" w:tplc="04220019" w:tentative="1">
      <w:start w:val="1"/>
      <w:numFmt w:val="lowerLetter"/>
      <w:lvlText w:val="%5."/>
      <w:lvlJc w:val="left"/>
      <w:pPr>
        <w:ind w:left="3458" w:hanging="360"/>
      </w:pPr>
      <w:rPr>
        <w:rFonts w:cs="Times New Roman"/>
      </w:rPr>
    </w:lvl>
    <w:lvl w:ilvl="5" w:tplc="0422001B" w:tentative="1">
      <w:start w:val="1"/>
      <w:numFmt w:val="lowerRoman"/>
      <w:lvlText w:val="%6."/>
      <w:lvlJc w:val="right"/>
      <w:pPr>
        <w:ind w:left="4178" w:hanging="180"/>
      </w:pPr>
      <w:rPr>
        <w:rFonts w:cs="Times New Roman"/>
      </w:rPr>
    </w:lvl>
    <w:lvl w:ilvl="6" w:tplc="0422000F" w:tentative="1">
      <w:start w:val="1"/>
      <w:numFmt w:val="decimal"/>
      <w:lvlText w:val="%7."/>
      <w:lvlJc w:val="left"/>
      <w:pPr>
        <w:ind w:left="4898" w:hanging="360"/>
      </w:pPr>
      <w:rPr>
        <w:rFonts w:cs="Times New Roman"/>
      </w:rPr>
    </w:lvl>
    <w:lvl w:ilvl="7" w:tplc="04220019" w:tentative="1">
      <w:start w:val="1"/>
      <w:numFmt w:val="lowerLetter"/>
      <w:lvlText w:val="%8."/>
      <w:lvlJc w:val="left"/>
      <w:pPr>
        <w:ind w:left="5618" w:hanging="360"/>
      </w:pPr>
      <w:rPr>
        <w:rFonts w:cs="Times New Roman"/>
      </w:rPr>
    </w:lvl>
    <w:lvl w:ilvl="8" w:tplc="0422001B" w:tentative="1">
      <w:start w:val="1"/>
      <w:numFmt w:val="lowerRoman"/>
      <w:lvlText w:val="%9."/>
      <w:lvlJc w:val="right"/>
      <w:pPr>
        <w:ind w:left="6338" w:hanging="180"/>
      </w:pPr>
      <w:rPr>
        <w:rFonts w:cs="Times New Roman"/>
      </w:rPr>
    </w:lvl>
  </w:abstractNum>
  <w:abstractNum w:abstractNumId="1" w15:restartNumberingAfterBreak="0">
    <w:nsid w:val="04BD041D"/>
    <w:multiLevelType w:val="hybridMultilevel"/>
    <w:tmpl w:val="75F25A10"/>
    <w:lvl w:ilvl="0" w:tplc="C6D4340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717227C"/>
    <w:multiLevelType w:val="hybridMultilevel"/>
    <w:tmpl w:val="0388C014"/>
    <w:lvl w:ilvl="0" w:tplc="0CB2636C">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1D72ED"/>
    <w:multiLevelType w:val="hybridMultilevel"/>
    <w:tmpl w:val="15C0D398"/>
    <w:lvl w:ilvl="0" w:tplc="DBA4B0EE">
      <w:start w:val="1"/>
      <w:numFmt w:val="decimal"/>
      <w:lvlText w:val="%1)"/>
      <w:lvlJc w:val="left"/>
      <w:pPr>
        <w:ind w:left="999" w:hanging="43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5" w15:restartNumberingAfterBreak="0">
    <w:nsid w:val="137A67E6"/>
    <w:multiLevelType w:val="hybridMultilevel"/>
    <w:tmpl w:val="FB78C982"/>
    <w:lvl w:ilvl="0" w:tplc="EB62A66C">
      <w:start w:val="1"/>
      <w:numFmt w:val="decimal"/>
      <w:lvlText w:val="%1)"/>
      <w:lvlJc w:val="left"/>
      <w:pPr>
        <w:ind w:left="927" w:hanging="360"/>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6" w15:restartNumberingAfterBreak="0">
    <w:nsid w:val="171239C8"/>
    <w:multiLevelType w:val="hybridMultilevel"/>
    <w:tmpl w:val="CA42BD90"/>
    <w:lvl w:ilvl="0" w:tplc="FC329414">
      <w:start w:val="1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8302332"/>
    <w:multiLevelType w:val="hybridMultilevel"/>
    <w:tmpl w:val="2B30271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9934916"/>
    <w:multiLevelType w:val="hybridMultilevel"/>
    <w:tmpl w:val="CCF095C6"/>
    <w:lvl w:ilvl="0" w:tplc="04220011">
      <w:start w:val="1"/>
      <w:numFmt w:val="decimal"/>
      <w:lvlText w:val="%1)"/>
      <w:lvlJc w:val="left"/>
      <w:pPr>
        <w:ind w:left="360" w:hanging="360"/>
      </w:pPr>
      <w:rPr>
        <w:rFonts w:cs="Times New Roman"/>
      </w:rPr>
    </w:lvl>
    <w:lvl w:ilvl="1" w:tplc="04220001">
      <w:start w:val="1"/>
      <w:numFmt w:val="bullet"/>
      <w:lvlText w:val=""/>
      <w:lvlJc w:val="left"/>
      <w:pPr>
        <w:ind w:left="1080" w:hanging="360"/>
      </w:pPr>
      <w:rPr>
        <w:rFonts w:ascii="Symbol" w:hAnsi="Symbol" w:hint="default"/>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9" w15:restartNumberingAfterBreak="0">
    <w:nsid w:val="1E13662F"/>
    <w:multiLevelType w:val="hybridMultilevel"/>
    <w:tmpl w:val="D0D2C982"/>
    <w:lvl w:ilvl="0" w:tplc="C54CAA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4086CF1"/>
    <w:multiLevelType w:val="hybridMultilevel"/>
    <w:tmpl w:val="754C3E32"/>
    <w:lvl w:ilvl="0" w:tplc="39BE8C64">
      <w:start w:val="18"/>
      <w:numFmt w:val="decimal"/>
      <w:lvlText w:val="%1."/>
      <w:lvlJc w:val="left"/>
      <w:pPr>
        <w:ind w:left="1495" w:hanging="360"/>
      </w:pPr>
      <w:rPr>
        <w:rFonts w:cs="Times New Roman" w:hint="default"/>
      </w:rPr>
    </w:lvl>
    <w:lvl w:ilvl="1" w:tplc="04220019" w:tentative="1">
      <w:start w:val="1"/>
      <w:numFmt w:val="lowerLetter"/>
      <w:lvlText w:val="%2."/>
      <w:lvlJc w:val="left"/>
      <w:pPr>
        <w:ind w:left="1495" w:hanging="360"/>
      </w:pPr>
    </w:lvl>
    <w:lvl w:ilvl="2" w:tplc="0422001B" w:tentative="1">
      <w:start w:val="1"/>
      <w:numFmt w:val="lowerRoman"/>
      <w:lvlText w:val="%3."/>
      <w:lvlJc w:val="right"/>
      <w:pPr>
        <w:ind w:left="2215" w:hanging="180"/>
      </w:pPr>
    </w:lvl>
    <w:lvl w:ilvl="3" w:tplc="0422000F" w:tentative="1">
      <w:start w:val="1"/>
      <w:numFmt w:val="decimal"/>
      <w:lvlText w:val="%4."/>
      <w:lvlJc w:val="left"/>
      <w:pPr>
        <w:ind w:left="2935" w:hanging="360"/>
      </w:pPr>
    </w:lvl>
    <w:lvl w:ilvl="4" w:tplc="04220019" w:tentative="1">
      <w:start w:val="1"/>
      <w:numFmt w:val="lowerLetter"/>
      <w:lvlText w:val="%5."/>
      <w:lvlJc w:val="left"/>
      <w:pPr>
        <w:ind w:left="3655" w:hanging="360"/>
      </w:pPr>
    </w:lvl>
    <w:lvl w:ilvl="5" w:tplc="0422001B" w:tentative="1">
      <w:start w:val="1"/>
      <w:numFmt w:val="lowerRoman"/>
      <w:lvlText w:val="%6."/>
      <w:lvlJc w:val="right"/>
      <w:pPr>
        <w:ind w:left="4375" w:hanging="180"/>
      </w:pPr>
    </w:lvl>
    <w:lvl w:ilvl="6" w:tplc="0422000F" w:tentative="1">
      <w:start w:val="1"/>
      <w:numFmt w:val="decimal"/>
      <w:lvlText w:val="%7."/>
      <w:lvlJc w:val="left"/>
      <w:pPr>
        <w:ind w:left="5095" w:hanging="360"/>
      </w:pPr>
    </w:lvl>
    <w:lvl w:ilvl="7" w:tplc="04220019" w:tentative="1">
      <w:start w:val="1"/>
      <w:numFmt w:val="lowerLetter"/>
      <w:lvlText w:val="%8."/>
      <w:lvlJc w:val="left"/>
      <w:pPr>
        <w:ind w:left="5815" w:hanging="360"/>
      </w:pPr>
    </w:lvl>
    <w:lvl w:ilvl="8" w:tplc="0422001B" w:tentative="1">
      <w:start w:val="1"/>
      <w:numFmt w:val="lowerRoman"/>
      <w:lvlText w:val="%9."/>
      <w:lvlJc w:val="right"/>
      <w:pPr>
        <w:ind w:left="6535" w:hanging="180"/>
      </w:pPr>
    </w:lvl>
  </w:abstractNum>
  <w:abstractNum w:abstractNumId="11" w15:restartNumberingAfterBreak="0">
    <w:nsid w:val="241574DD"/>
    <w:multiLevelType w:val="hybridMultilevel"/>
    <w:tmpl w:val="25F465B2"/>
    <w:lvl w:ilvl="0" w:tplc="6D7A52C8">
      <w:start w:val="1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4772E7D"/>
    <w:multiLevelType w:val="hybridMultilevel"/>
    <w:tmpl w:val="92C2B78A"/>
    <w:lvl w:ilvl="0" w:tplc="A1827D84">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15:restartNumberingAfterBreak="0">
    <w:nsid w:val="28BA32FF"/>
    <w:multiLevelType w:val="hybridMultilevel"/>
    <w:tmpl w:val="41C485CC"/>
    <w:lvl w:ilvl="0" w:tplc="21C294A6">
      <w:start w:val="17"/>
      <w:numFmt w:val="decimal"/>
      <w:lvlText w:val="%1."/>
      <w:lvlJc w:val="left"/>
      <w:pPr>
        <w:ind w:left="144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9085B76"/>
    <w:multiLevelType w:val="hybridMultilevel"/>
    <w:tmpl w:val="1EC86694"/>
    <w:lvl w:ilvl="0" w:tplc="F788C50E">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CB1904"/>
    <w:multiLevelType w:val="hybridMultilevel"/>
    <w:tmpl w:val="A5D6A0A0"/>
    <w:lvl w:ilvl="0" w:tplc="C9DA656C">
      <w:start w:val="3"/>
      <w:numFmt w:val="decimal"/>
      <w:lvlText w:val="%1)"/>
      <w:lvlJc w:val="left"/>
      <w:pPr>
        <w:ind w:left="999" w:hanging="432"/>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2DA150A"/>
    <w:multiLevelType w:val="hybridMultilevel"/>
    <w:tmpl w:val="AAF64C8E"/>
    <w:lvl w:ilvl="0" w:tplc="04220011">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7"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3CBE0B1F"/>
    <w:multiLevelType w:val="hybridMultilevel"/>
    <w:tmpl w:val="8834B040"/>
    <w:lvl w:ilvl="0" w:tplc="ABA2ED2C">
      <w:start w:val="18"/>
      <w:numFmt w:val="decimal"/>
      <w:lvlText w:val="%1."/>
      <w:lvlJc w:val="left"/>
      <w:pPr>
        <w:ind w:left="144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D041138"/>
    <w:multiLevelType w:val="hybridMultilevel"/>
    <w:tmpl w:val="7DF6D87E"/>
    <w:lvl w:ilvl="0" w:tplc="9A30A4AA">
      <w:start w:val="4"/>
      <w:numFmt w:val="decimal"/>
      <w:lvlText w:val="%1."/>
      <w:lvlJc w:val="left"/>
      <w:pPr>
        <w:ind w:left="720" w:hanging="360"/>
      </w:pPr>
      <w:rPr>
        <w:rFonts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D0F16C5"/>
    <w:multiLevelType w:val="hybridMultilevel"/>
    <w:tmpl w:val="5AF2479A"/>
    <w:lvl w:ilvl="0" w:tplc="3E36EAA0">
      <w:start w:val="2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D8D0F56"/>
    <w:multiLevelType w:val="hybridMultilevel"/>
    <w:tmpl w:val="0388C014"/>
    <w:lvl w:ilvl="0" w:tplc="0CB2636C">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4BC273E"/>
    <w:multiLevelType w:val="hybridMultilevel"/>
    <w:tmpl w:val="7BFE3D18"/>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15:restartNumberingAfterBreak="0">
    <w:nsid w:val="45D248FB"/>
    <w:multiLevelType w:val="hybridMultilevel"/>
    <w:tmpl w:val="EC2617A6"/>
    <w:lvl w:ilvl="0" w:tplc="2F0082CA">
      <w:start w:val="1"/>
      <w:numFmt w:val="decimal"/>
      <w:lvlText w:val="%1)"/>
      <w:lvlJc w:val="left"/>
      <w:pPr>
        <w:ind w:left="1341" w:hanging="915"/>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4" w15:restartNumberingAfterBreak="0">
    <w:nsid w:val="46917CE1"/>
    <w:multiLevelType w:val="hybridMultilevel"/>
    <w:tmpl w:val="3300F190"/>
    <w:lvl w:ilvl="0" w:tplc="1598D0DE">
      <w:start w:val="17"/>
      <w:numFmt w:val="decimal"/>
      <w:lvlText w:val="%1."/>
      <w:lvlJc w:val="left"/>
      <w:pPr>
        <w:ind w:left="144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8BE6DC4"/>
    <w:multiLevelType w:val="hybridMultilevel"/>
    <w:tmpl w:val="AF0C011C"/>
    <w:lvl w:ilvl="0" w:tplc="94983A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4A3758D2"/>
    <w:multiLevelType w:val="hybridMultilevel"/>
    <w:tmpl w:val="EC16C1C2"/>
    <w:lvl w:ilvl="0" w:tplc="B8948D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4BB47882"/>
    <w:multiLevelType w:val="hybridMultilevel"/>
    <w:tmpl w:val="60A4C7DE"/>
    <w:lvl w:ilvl="0" w:tplc="8716C9E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4BF073EB"/>
    <w:multiLevelType w:val="hybridMultilevel"/>
    <w:tmpl w:val="998C325C"/>
    <w:lvl w:ilvl="0" w:tplc="0CB2636C">
      <w:start w:val="1"/>
      <w:numFmt w:val="decimal"/>
      <w:lvlText w:val="%1"/>
      <w:lvlJc w:val="left"/>
      <w:pPr>
        <w:ind w:left="1353" w:hanging="360"/>
      </w:pPr>
      <w:rPr>
        <w:rFonts w:cs="Times New Roman" w:hint="default"/>
      </w:rPr>
    </w:lvl>
    <w:lvl w:ilvl="1" w:tplc="04220019" w:tentative="1">
      <w:start w:val="1"/>
      <w:numFmt w:val="lowerLetter"/>
      <w:lvlText w:val="%2."/>
      <w:lvlJc w:val="left"/>
      <w:pPr>
        <w:ind w:left="1582" w:hanging="360"/>
      </w:pPr>
      <w:rPr>
        <w:rFonts w:cs="Times New Roman"/>
      </w:rPr>
    </w:lvl>
    <w:lvl w:ilvl="2" w:tplc="0422001B" w:tentative="1">
      <w:start w:val="1"/>
      <w:numFmt w:val="lowerRoman"/>
      <w:lvlText w:val="%3."/>
      <w:lvlJc w:val="right"/>
      <w:pPr>
        <w:ind w:left="2302" w:hanging="180"/>
      </w:pPr>
      <w:rPr>
        <w:rFonts w:cs="Times New Roman"/>
      </w:rPr>
    </w:lvl>
    <w:lvl w:ilvl="3" w:tplc="0422000F" w:tentative="1">
      <w:start w:val="1"/>
      <w:numFmt w:val="decimal"/>
      <w:lvlText w:val="%4."/>
      <w:lvlJc w:val="left"/>
      <w:pPr>
        <w:ind w:left="3022" w:hanging="360"/>
      </w:pPr>
      <w:rPr>
        <w:rFonts w:cs="Times New Roman"/>
      </w:rPr>
    </w:lvl>
    <w:lvl w:ilvl="4" w:tplc="04220019" w:tentative="1">
      <w:start w:val="1"/>
      <w:numFmt w:val="lowerLetter"/>
      <w:lvlText w:val="%5."/>
      <w:lvlJc w:val="left"/>
      <w:pPr>
        <w:ind w:left="3742" w:hanging="360"/>
      </w:pPr>
      <w:rPr>
        <w:rFonts w:cs="Times New Roman"/>
      </w:rPr>
    </w:lvl>
    <w:lvl w:ilvl="5" w:tplc="0422001B" w:tentative="1">
      <w:start w:val="1"/>
      <w:numFmt w:val="lowerRoman"/>
      <w:lvlText w:val="%6."/>
      <w:lvlJc w:val="right"/>
      <w:pPr>
        <w:ind w:left="4462" w:hanging="180"/>
      </w:pPr>
      <w:rPr>
        <w:rFonts w:cs="Times New Roman"/>
      </w:rPr>
    </w:lvl>
    <w:lvl w:ilvl="6" w:tplc="0422000F" w:tentative="1">
      <w:start w:val="1"/>
      <w:numFmt w:val="decimal"/>
      <w:lvlText w:val="%7."/>
      <w:lvlJc w:val="left"/>
      <w:pPr>
        <w:ind w:left="5182" w:hanging="360"/>
      </w:pPr>
      <w:rPr>
        <w:rFonts w:cs="Times New Roman"/>
      </w:rPr>
    </w:lvl>
    <w:lvl w:ilvl="7" w:tplc="04220019" w:tentative="1">
      <w:start w:val="1"/>
      <w:numFmt w:val="lowerLetter"/>
      <w:lvlText w:val="%8."/>
      <w:lvlJc w:val="left"/>
      <w:pPr>
        <w:ind w:left="5902" w:hanging="360"/>
      </w:pPr>
      <w:rPr>
        <w:rFonts w:cs="Times New Roman"/>
      </w:rPr>
    </w:lvl>
    <w:lvl w:ilvl="8" w:tplc="0422001B" w:tentative="1">
      <w:start w:val="1"/>
      <w:numFmt w:val="lowerRoman"/>
      <w:lvlText w:val="%9."/>
      <w:lvlJc w:val="right"/>
      <w:pPr>
        <w:ind w:left="6622" w:hanging="180"/>
      </w:pPr>
      <w:rPr>
        <w:rFonts w:cs="Times New Roman"/>
      </w:rPr>
    </w:lvl>
  </w:abstractNum>
  <w:abstractNum w:abstractNumId="29" w15:restartNumberingAfterBreak="0">
    <w:nsid w:val="4C713DEF"/>
    <w:multiLevelType w:val="hybridMultilevel"/>
    <w:tmpl w:val="3FBC84D8"/>
    <w:lvl w:ilvl="0" w:tplc="5AC48DB8">
      <w:start w:val="1"/>
      <w:numFmt w:val="decimal"/>
      <w:lvlText w:val="%1)"/>
      <w:lvlJc w:val="left"/>
      <w:pPr>
        <w:ind w:left="1065" w:hanging="360"/>
      </w:pPr>
      <w:rPr>
        <w:rFonts w:cs="Times New Roman"/>
      </w:rPr>
    </w:lvl>
    <w:lvl w:ilvl="1" w:tplc="04220019">
      <w:start w:val="1"/>
      <w:numFmt w:val="lowerLetter"/>
      <w:lvlText w:val="%2."/>
      <w:lvlJc w:val="left"/>
      <w:pPr>
        <w:ind w:left="1785" w:hanging="360"/>
      </w:pPr>
      <w:rPr>
        <w:rFonts w:cs="Times New Roman"/>
      </w:rPr>
    </w:lvl>
    <w:lvl w:ilvl="2" w:tplc="0422001B">
      <w:start w:val="1"/>
      <w:numFmt w:val="lowerRoman"/>
      <w:lvlText w:val="%3."/>
      <w:lvlJc w:val="right"/>
      <w:pPr>
        <w:ind w:left="2505" w:hanging="180"/>
      </w:pPr>
      <w:rPr>
        <w:rFonts w:cs="Times New Roman"/>
      </w:rPr>
    </w:lvl>
    <w:lvl w:ilvl="3" w:tplc="0422000F">
      <w:start w:val="1"/>
      <w:numFmt w:val="decimal"/>
      <w:lvlText w:val="%4."/>
      <w:lvlJc w:val="left"/>
      <w:pPr>
        <w:ind w:left="3225" w:hanging="360"/>
      </w:pPr>
      <w:rPr>
        <w:rFonts w:cs="Times New Roman"/>
      </w:rPr>
    </w:lvl>
    <w:lvl w:ilvl="4" w:tplc="04220019">
      <w:start w:val="1"/>
      <w:numFmt w:val="lowerLetter"/>
      <w:lvlText w:val="%5."/>
      <w:lvlJc w:val="left"/>
      <w:pPr>
        <w:ind w:left="3945" w:hanging="360"/>
      </w:pPr>
      <w:rPr>
        <w:rFonts w:cs="Times New Roman"/>
      </w:rPr>
    </w:lvl>
    <w:lvl w:ilvl="5" w:tplc="0422001B">
      <w:start w:val="1"/>
      <w:numFmt w:val="lowerRoman"/>
      <w:lvlText w:val="%6."/>
      <w:lvlJc w:val="right"/>
      <w:pPr>
        <w:ind w:left="4665" w:hanging="180"/>
      </w:pPr>
      <w:rPr>
        <w:rFonts w:cs="Times New Roman"/>
      </w:rPr>
    </w:lvl>
    <w:lvl w:ilvl="6" w:tplc="0422000F">
      <w:start w:val="1"/>
      <w:numFmt w:val="decimal"/>
      <w:lvlText w:val="%7."/>
      <w:lvlJc w:val="left"/>
      <w:pPr>
        <w:ind w:left="5385" w:hanging="360"/>
      </w:pPr>
      <w:rPr>
        <w:rFonts w:cs="Times New Roman"/>
      </w:rPr>
    </w:lvl>
    <w:lvl w:ilvl="7" w:tplc="04220019">
      <w:start w:val="1"/>
      <w:numFmt w:val="lowerLetter"/>
      <w:lvlText w:val="%8."/>
      <w:lvlJc w:val="left"/>
      <w:pPr>
        <w:ind w:left="6105" w:hanging="360"/>
      </w:pPr>
      <w:rPr>
        <w:rFonts w:cs="Times New Roman"/>
      </w:rPr>
    </w:lvl>
    <w:lvl w:ilvl="8" w:tplc="0422001B">
      <w:start w:val="1"/>
      <w:numFmt w:val="lowerRoman"/>
      <w:lvlText w:val="%9."/>
      <w:lvlJc w:val="right"/>
      <w:pPr>
        <w:ind w:left="6825" w:hanging="180"/>
      </w:pPr>
      <w:rPr>
        <w:rFonts w:cs="Times New Roman"/>
      </w:rPr>
    </w:lvl>
  </w:abstractNum>
  <w:abstractNum w:abstractNumId="30" w15:restartNumberingAfterBreak="0">
    <w:nsid w:val="4C940FD9"/>
    <w:multiLevelType w:val="hybridMultilevel"/>
    <w:tmpl w:val="D6ECA7FC"/>
    <w:lvl w:ilvl="0" w:tplc="9AE023C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1" w15:restartNumberingAfterBreak="0">
    <w:nsid w:val="4E90302E"/>
    <w:multiLevelType w:val="hybridMultilevel"/>
    <w:tmpl w:val="8ADED28E"/>
    <w:lvl w:ilvl="0" w:tplc="DAF8F0E8">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2" w15:restartNumberingAfterBreak="0">
    <w:nsid w:val="51672CEC"/>
    <w:multiLevelType w:val="hybridMultilevel"/>
    <w:tmpl w:val="22D21F46"/>
    <w:lvl w:ilvl="0" w:tplc="5804F866">
      <w:start w:val="3"/>
      <w:numFmt w:val="upperRoman"/>
      <w:lvlText w:val="%1."/>
      <w:lvlJc w:val="left"/>
      <w:pPr>
        <w:ind w:left="1800" w:hanging="72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3" w15:restartNumberingAfterBreak="0">
    <w:nsid w:val="56401E63"/>
    <w:multiLevelType w:val="hybridMultilevel"/>
    <w:tmpl w:val="E6421E16"/>
    <w:lvl w:ilvl="0" w:tplc="3A1476C6">
      <w:start w:val="1"/>
      <w:numFmt w:val="decimal"/>
      <w:lvlText w:val="%1)"/>
      <w:lvlJc w:val="left"/>
      <w:pPr>
        <w:ind w:left="928"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4" w15:restartNumberingAfterBreak="0">
    <w:nsid w:val="56E251AC"/>
    <w:multiLevelType w:val="hybridMultilevel"/>
    <w:tmpl w:val="F1F84702"/>
    <w:lvl w:ilvl="0" w:tplc="25FEEC74">
      <w:start w:val="18"/>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831531"/>
    <w:multiLevelType w:val="hybridMultilevel"/>
    <w:tmpl w:val="50B836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ABA49B9"/>
    <w:multiLevelType w:val="hybridMultilevel"/>
    <w:tmpl w:val="BF50EB08"/>
    <w:lvl w:ilvl="0" w:tplc="B0AAF056">
      <w:start w:val="1"/>
      <w:numFmt w:val="decimal"/>
      <w:lvlText w:val="%1)"/>
      <w:lvlJc w:val="left"/>
      <w:pPr>
        <w:ind w:left="1497" w:hanging="930"/>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928"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7" w15:restartNumberingAfterBreak="0">
    <w:nsid w:val="5C17362E"/>
    <w:multiLevelType w:val="hybridMultilevel"/>
    <w:tmpl w:val="D84EB1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18D1CB4"/>
    <w:multiLevelType w:val="hybridMultilevel"/>
    <w:tmpl w:val="7DD23DFA"/>
    <w:lvl w:ilvl="0" w:tplc="70C6C9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15:restartNumberingAfterBreak="0">
    <w:nsid w:val="646E0A9C"/>
    <w:multiLevelType w:val="hybridMultilevel"/>
    <w:tmpl w:val="FAAC3168"/>
    <w:lvl w:ilvl="0" w:tplc="4DC85D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15:restartNumberingAfterBreak="0">
    <w:nsid w:val="69401143"/>
    <w:multiLevelType w:val="hybridMultilevel"/>
    <w:tmpl w:val="2D663182"/>
    <w:lvl w:ilvl="0" w:tplc="99025B5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1" w15:restartNumberingAfterBreak="0">
    <w:nsid w:val="6F2F3F8D"/>
    <w:multiLevelType w:val="hybridMultilevel"/>
    <w:tmpl w:val="ABF8ED0C"/>
    <w:lvl w:ilvl="0" w:tplc="04220011">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2" w15:restartNumberingAfterBreak="0">
    <w:nsid w:val="75A34235"/>
    <w:multiLevelType w:val="hybridMultilevel"/>
    <w:tmpl w:val="E638A91C"/>
    <w:lvl w:ilvl="0" w:tplc="2A1CE91E">
      <w:start w:val="1"/>
      <w:numFmt w:val="decimal"/>
      <w:lvlText w:val="%1)"/>
      <w:lvlJc w:val="left"/>
      <w:pPr>
        <w:ind w:left="1092" w:hanging="52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3" w15:restartNumberingAfterBreak="0">
    <w:nsid w:val="78CF6A8C"/>
    <w:multiLevelType w:val="hybridMultilevel"/>
    <w:tmpl w:val="9842ABD2"/>
    <w:lvl w:ilvl="0" w:tplc="458C592E">
      <w:start w:val="1"/>
      <w:numFmt w:val="decimal"/>
      <w:lvlText w:val="%1."/>
      <w:lvlJc w:val="left"/>
      <w:pPr>
        <w:ind w:left="720" w:hanging="360"/>
      </w:pPr>
      <w:rPr>
        <w:rFonts w:eastAsia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9"/>
  </w:num>
  <w:num w:numId="5">
    <w:abstractNumId w:val="4"/>
  </w:num>
  <w:num w:numId="6">
    <w:abstractNumId w:val="35"/>
  </w:num>
  <w:num w:numId="7">
    <w:abstractNumId w:val="7"/>
  </w:num>
  <w:num w:numId="8">
    <w:abstractNumId w:val="30"/>
  </w:num>
  <w:num w:numId="9">
    <w:abstractNumId w:val="40"/>
  </w:num>
  <w:num w:numId="10">
    <w:abstractNumId w:val="1"/>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3"/>
  </w:num>
  <w:num w:numId="18">
    <w:abstractNumId w:val="18"/>
  </w:num>
  <w:num w:numId="19">
    <w:abstractNumId w:val="20"/>
  </w:num>
  <w:num w:numId="20">
    <w:abstractNumId w:val="0"/>
  </w:num>
  <w:num w:numId="21">
    <w:abstractNumId w:val="16"/>
  </w:num>
  <w:num w:numId="22">
    <w:abstractNumId w:val="8"/>
  </w:num>
  <w:num w:numId="23">
    <w:abstractNumId w:val="41"/>
  </w:num>
  <w:num w:numId="24">
    <w:abstractNumId w:val="21"/>
  </w:num>
  <w:num w:numId="25">
    <w:abstractNumId w:val="28"/>
  </w:num>
  <w:num w:numId="26">
    <w:abstractNumId w:val="2"/>
  </w:num>
  <w:num w:numId="27">
    <w:abstractNumId w:val="38"/>
  </w:num>
  <w:num w:numId="28">
    <w:abstractNumId w:val="3"/>
  </w:num>
  <w:num w:numId="29">
    <w:abstractNumId w:val="37"/>
  </w:num>
  <w:num w:numId="30">
    <w:abstractNumId w:val="39"/>
  </w:num>
  <w:num w:numId="31">
    <w:abstractNumId w:val="42"/>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1"/>
  </w:num>
  <w:num w:numId="35">
    <w:abstractNumId w:val="34"/>
  </w:num>
  <w:num w:numId="36">
    <w:abstractNumId w:val="14"/>
  </w:num>
  <w:num w:numId="37">
    <w:abstractNumId w:val="13"/>
  </w:num>
  <w:num w:numId="38">
    <w:abstractNumId w:val="6"/>
  </w:num>
  <w:num w:numId="39">
    <w:abstractNumId w:val="25"/>
  </w:num>
  <w:num w:numId="40">
    <w:abstractNumId w:val="15"/>
  </w:num>
  <w:num w:numId="41">
    <w:abstractNumId w:val="33"/>
  </w:num>
  <w:num w:numId="42">
    <w:abstractNumId w:val="26"/>
  </w:num>
  <w:num w:numId="43">
    <w:abstractNumId w:val="27"/>
  </w:num>
  <w:num w:numId="44">
    <w:abstractNumId w:val="1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409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992"/>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598"/>
    <w:rsid w:val="0000082A"/>
    <w:rsid w:val="00001D88"/>
    <w:rsid w:val="00002A5B"/>
    <w:rsid w:val="00005492"/>
    <w:rsid w:val="0000562F"/>
    <w:rsid w:val="000064FA"/>
    <w:rsid w:val="000069AF"/>
    <w:rsid w:val="00006C04"/>
    <w:rsid w:val="00006EAD"/>
    <w:rsid w:val="00007365"/>
    <w:rsid w:val="00007664"/>
    <w:rsid w:val="00010F6B"/>
    <w:rsid w:val="00011189"/>
    <w:rsid w:val="000114EB"/>
    <w:rsid w:val="0001166F"/>
    <w:rsid w:val="00011CAD"/>
    <w:rsid w:val="000129C0"/>
    <w:rsid w:val="00013516"/>
    <w:rsid w:val="00015679"/>
    <w:rsid w:val="00015AA5"/>
    <w:rsid w:val="00015CF3"/>
    <w:rsid w:val="00015FDE"/>
    <w:rsid w:val="000165F6"/>
    <w:rsid w:val="0001772C"/>
    <w:rsid w:val="00020763"/>
    <w:rsid w:val="00020B40"/>
    <w:rsid w:val="000229F8"/>
    <w:rsid w:val="0002413B"/>
    <w:rsid w:val="000241CD"/>
    <w:rsid w:val="0002759C"/>
    <w:rsid w:val="00027694"/>
    <w:rsid w:val="00027EB8"/>
    <w:rsid w:val="00030FD8"/>
    <w:rsid w:val="0003128F"/>
    <w:rsid w:val="00032289"/>
    <w:rsid w:val="00032713"/>
    <w:rsid w:val="0003331E"/>
    <w:rsid w:val="0003341B"/>
    <w:rsid w:val="000342A5"/>
    <w:rsid w:val="0003583C"/>
    <w:rsid w:val="0003793C"/>
    <w:rsid w:val="000426B8"/>
    <w:rsid w:val="0004321B"/>
    <w:rsid w:val="00044205"/>
    <w:rsid w:val="0004514F"/>
    <w:rsid w:val="00050271"/>
    <w:rsid w:val="00050D0B"/>
    <w:rsid w:val="00051E27"/>
    <w:rsid w:val="00051E34"/>
    <w:rsid w:val="00051FF1"/>
    <w:rsid w:val="000536C4"/>
    <w:rsid w:val="00053736"/>
    <w:rsid w:val="00053BC0"/>
    <w:rsid w:val="000543C6"/>
    <w:rsid w:val="00056855"/>
    <w:rsid w:val="000570BD"/>
    <w:rsid w:val="00060086"/>
    <w:rsid w:val="000600A8"/>
    <w:rsid w:val="00061C52"/>
    <w:rsid w:val="000631A3"/>
    <w:rsid w:val="00063480"/>
    <w:rsid w:val="000638F2"/>
    <w:rsid w:val="000644BD"/>
    <w:rsid w:val="00064FDD"/>
    <w:rsid w:val="00065B18"/>
    <w:rsid w:val="000701BA"/>
    <w:rsid w:val="00072231"/>
    <w:rsid w:val="000730BF"/>
    <w:rsid w:val="00073A19"/>
    <w:rsid w:val="0007418F"/>
    <w:rsid w:val="000754AE"/>
    <w:rsid w:val="00075A9C"/>
    <w:rsid w:val="000770FF"/>
    <w:rsid w:val="00083DB5"/>
    <w:rsid w:val="0008471D"/>
    <w:rsid w:val="00085E80"/>
    <w:rsid w:val="00086005"/>
    <w:rsid w:val="0009011A"/>
    <w:rsid w:val="0009252C"/>
    <w:rsid w:val="00092B3B"/>
    <w:rsid w:val="00092DD6"/>
    <w:rsid w:val="000932CB"/>
    <w:rsid w:val="000935B5"/>
    <w:rsid w:val="00093694"/>
    <w:rsid w:val="000960A8"/>
    <w:rsid w:val="000A0846"/>
    <w:rsid w:val="000A0AC5"/>
    <w:rsid w:val="000A1A13"/>
    <w:rsid w:val="000A2639"/>
    <w:rsid w:val="000A2F5E"/>
    <w:rsid w:val="000A3204"/>
    <w:rsid w:val="000A4758"/>
    <w:rsid w:val="000A5787"/>
    <w:rsid w:val="000A5DE5"/>
    <w:rsid w:val="000A6066"/>
    <w:rsid w:val="000A6816"/>
    <w:rsid w:val="000A69D9"/>
    <w:rsid w:val="000A6E5A"/>
    <w:rsid w:val="000B1D74"/>
    <w:rsid w:val="000B2005"/>
    <w:rsid w:val="000B2990"/>
    <w:rsid w:val="000B34F0"/>
    <w:rsid w:val="000B57CA"/>
    <w:rsid w:val="000B5B31"/>
    <w:rsid w:val="000B69DE"/>
    <w:rsid w:val="000B7EA7"/>
    <w:rsid w:val="000C245D"/>
    <w:rsid w:val="000C399E"/>
    <w:rsid w:val="000C49FB"/>
    <w:rsid w:val="000C51EC"/>
    <w:rsid w:val="000C5270"/>
    <w:rsid w:val="000C5F76"/>
    <w:rsid w:val="000C609C"/>
    <w:rsid w:val="000C6EBF"/>
    <w:rsid w:val="000C7632"/>
    <w:rsid w:val="000C7817"/>
    <w:rsid w:val="000C78AE"/>
    <w:rsid w:val="000D05A8"/>
    <w:rsid w:val="000D0601"/>
    <w:rsid w:val="000D082B"/>
    <w:rsid w:val="000D0DD8"/>
    <w:rsid w:val="000D10F8"/>
    <w:rsid w:val="000D24AA"/>
    <w:rsid w:val="000D2DC4"/>
    <w:rsid w:val="000D3D81"/>
    <w:rsid w:val="000D778F"/>
    <w:rsid w:val="000E0A4F"/>
    <w:rsid w:val="000E0CB3"/>
    <w:rsid w:val="000E22A5"/>
    <w:rsid w:val="000E22E0"/>
    <w:rsid w:val="000E4065"/>
    <w:rsid w:val="000E5110"/>
    <w:rsid w:val="000E56BA"/>
    <w:rsid w:val="000E5B8C"/>
    <w:rsid w:val="000E7A13"/>
    <w:rsid w:val="000F0680"/>
    <w:rsid w:val="000F0E55"/>
    <w:rsid w:val="000F0FDA"/>
    <w:rsid w:val="000F150E"/>
    <w:rsid w:val="000F1CFE"/>
    <w:rsid w:val="000F3161"/>
    <w:rsid w:val="000F3BFD"/>
    <w:rsid w:val="000F4B71"/>
    <w:rsid w:val="000F58E1"/>
    <w:rsid w:val="000F6012"/>
    <w:rsid w:val="000F76E0"/>
    <w:rsid w:val="00100285"/>
    <w:rsid w:val="001033AC"/>
    <w:rsid w:val="00104883"/>
    <w:rsid w:val="0010580A"/>
    <w:rsid w:val="00106229"/>
    <w:rsid w:val="00110267"/>
    <w:rsid w:val="001125CC"/>
    <w:rsid w:val="001129CF"/>
    <w:rsid w:val="00112D17"/>
    <w:rsid w:val="001151D7"/>
    <w:rsid w:val="00115ECF"/>
    <w:rsid w:val="00116D88"/>
    <w:rsid w:val="00117143"/>
    <w:rsid w:val="00117228"/>
    <w:rsid w:val="00121971"/>
    <w:rsid w:val="00121FE8"/>
    <w:rsid w:val="001237B5"/>
    <w:rsid w:val="001240CD"/>
    <w:rsid w:val="00124DA1"/>
    <w:rsid w:val="001260C0"/>
    <w:rsid w:val="001334D3"/>
    <w:rsid w:val="00136A8B"/>
    <w:rsid w:val="00136EF4"/>
    <w:rsid w:val="00137376"/>
    <w:rsid w:val="0013756C"/>
    <w:rsid w:val="00145684"/>
    <w:rsid w:val="00150183"/>
    <w:rsid w:val="0015056D"/>
    <w:rsid w:val="00150F38"/>
    <w:rsid w:val="00151C16"/>
    <w:rsid w:val="00152421"/>
    <w:rsid w:val="00153226"/>
    <w:rsid w:val="00154096"/>
    <w:rsid w:val="00156F0D"/>
    <w:rsid w:val="001606CA"/>
    <w:rsid w:val="00160B87"/>
    <w:rsid w:val="00160C8D"/>
    <w:rsid w:val="001631E2"/>
    <w:rsid w:val="0016332A"/>
    <w:rsid w:val="001647B0"/>
    <w:rsid w:val="00166875"/>
    <w:rsid w:val="00166A51"/>
    <w:rsid w:val="00166AE8"/>
    <w:rsid w:val="00166D6C"/>
    <w:rsid w:val="00166F5E"/>
    <w:rsid w:val="001707D2"/>
    <w:rsid w:val="001716B0"/>
    <w:rsid w:val="00171CD1"/>
    <w:rsid w:val="00172D8A"/>
    <w:rsid w:val="0017409E"/>
    <w:rsid w:val="001740C0"/>
    <w:rsid w:val="001742AD"/>
    <w:rsid w:val="0017529A"/>
    <w:rsid w:val="00175A45"/>
    <w:rsid w:val="001818FD"/>
    <w:rsid w:val="00184871"/>
    <w:rsid w:val="00184A7C"/>
    <w:rsid w:val="00184C83"/>
    <w:rsid w:val="00185CF6"/>
    <w:rsid w:val="00186A37"/>
    <w:rsid w:val="00187448"/>
    <w:rsid w:val="001878CD"/>
    <w:rsid w:val="0019078E"/>
    <w:rsid w:val="00190E1A"/>
    <w:rsid w:val="00191471"/>
    <w:rsid w:val="001922A6"/>
    <w:rsid w:val="001940E4"/>
    <w:rsid w:val="00194272"/>
    <w:rsid w:val="001975BF"/>
    <w:rsid w:val="001A0EE5"/>
    <w:rsid w:val="001A143B"/>
    <w:rsid w:val="001A16FA"/>
    <w:rsid w:val="001A18E3"/>
    <w:rsid w:val="001A1BEC"/>
    <w:rsid w:val="001A21E8"/>
    <w:rsid w:val="001A33CE"/>
    <w:rsid w:val="001A4BE6"/>
    <w:rsid w:val="001A4CB9"/>
    <w:rsid w:val="001A64A3"/>
    <w:rsid w:val="001A6795"/>
    <w:rsid w:val="001B08E2"/>
    <w:rsid w:val="001B2E8A"/>
    <w:rsid w:val="001B2E8E"/>
    <w:rsid w:val="001B43D6"/>
    <w:rsid w:val="001B61FB"/>
    <w:rsid w:val="001C11AB"/>
    <w:rsid w:val="001C1266"/>
    <w:rsid w:val="001C163B"/>
    <w:rsid w:val="001C188C"/>
    <w:rsid w:val="001C1CC8"/>
    <w:rsid w:val="001C206C"/>
    <w:rsid w:val="001C2A90"/>
    <w:rsid w:val="001C34D9"/>
    <w:rsid w:val="001C3AC8"/>
    <w:rsid w:val="001C40BA"/>
    <w:rsid w:val="001C4EC7"/>
    <w:rsid w:val="001D3B60"/>
    <w:rsid w:val="001D487A"/>
    <w:rsid w:val="001D4DD9"/>
    <w:rsid w:val="001D5425"/>
    <w:rsid w:val="001D5A54"/>
    <w:rsid w:val="001D5D6C"/>
    <w:rsid w:val="001D60B7"/>
    <w:rsid w:val="001D67D7"/>
    <w:rsid w:val="001D6BD6"/>
    <w:rsid w:val="001E01B7"/>
    <w:rsid w:val="001E061C"/>
    <w:rsid w:val="001E0E6F"/>
    <w:rsid w:val="001E3E4F"/>
    <w:rsid w:val="001E576E"/>
    <w:rsid w:val="001F02CA"/>
    <w:rsid w:val="001F1EE0"/>
    <w:rsid w:val="001F2ECE"/>
    <w:rsid w:val="001F66FB"/>
    <w:rsid w:val="0020001E"/>
    <w:rsid w:val="00200218"/>
    <w:rsid w:val="0020103B"/>
    <w:rsid w:val="0020121C"/>
    <w:rsid w:val="00201BB0"/>
    <w:rsid w:val="00203B75"/>
    <w:rsid w:val="00203C11"/>
    <w:rsid w:val="00204C89"/>
    <w:rsid w:val="002050DF"/>
    <w:rsid w:val="00205977"/>
    <w:rsid w:val="00206987"/>
    <w:rsid w:val="002104ED"/>
    <w:rsid w:val="00211A53"/>
    <w:rsid w:val="00212305"/>
    <w:rsid w:val="00212750"/>
    <w:rsid w:val="00214DDF"/>
    <w:rsid w:val="00217210"/>
    <w:rsid w:val="0022164D"/>
    <w:rsid w:val="00221D0F"/>
    <w:rsid w:val="002228C0"/>
    <w:rsid w:val="0022297B"/>
    <w:rsid w:val="002238D1"/>
    <w:rsid w:val="00223B5A"/>
    <w:rsid w:val="00224746"/>
    <w:rsid w:val="0023188C"/>
    <w:rsid w:val="00231B09"/>
    <w:rsid w:val="00232C66"/>
    <w:rsid w:val="00233F37"/>
    <w:rsid w:val="00236779"/>
    <w:rsid w:val="00236B57"/>
    <w:rsid w:val="002400C1"/>
    <w:rsid w:val="00240942"/>
    <w:rsid w:val="00241062"/>
    <w:rsid w:val="00241373"/>
    <w:rsid w:val="00243C08"/>
    <w:rsid w:val="0024554A"/>
    <w:rsid w:val="002477DC"/>
    <w:rsid w:val="00251AA9"/>
    <w:rsid w:val="00251F77"/>
    <w:rsid w:val="002525C3"/>
    <w:rsid w:val="002533D8"/>
    <w:rsid w:val="00253BF9"/>
    <w:rsid w:val="0025455E"/>
    <w:rsid w:val="00260D99"/>
    <w:rsid w:val="00261F88"/>
    <w:rsid w:val="002635C4"/>
    <w:rsid w:val="00264068"/>
    <w:rsid w:val="00264983"/>
    <w:rsid w:val="00264FDE"/>
    <w:rsid w:val="00265A9C"/>
    <w:rsid w:val="00266678"/>
    <w:rsid w:val="00266C90"/>
    <w:rsid w:val="00270D77"/>
    <w:rsid w:val="00271D33"/>
    <w:rsid w:val="00272457"/>
    <w:rsid w:val="00273DEA"/>
    <w:rsid w:val="00276449"/>
    <w:rsid w:val="00276988"/>
    <w:rsid w:val="00276FC8"/>
    <w:rsid w:val="00277338"/>
    <w:rsid w:val="00277773"/>
    <w:rsid w:val="00280574"/>
    <w:rsid w:val="00280DCC"/>
    <w:rsid w:val="00281E44"/>
    <w:rsid w:val="00282BF8"/>
    <w:rsid w:val="0028371E"/>
    <w:rsid w:val="00285C77"/>
    <w:rsid w:val="00285DDA"/>
    <w:rsid w:val="002879D7"/>
    <w:rsid w:val="00290169"/>
    <w:rsid w:val="002907B8"/>
    <w:rsid w:val="002930EC"/>
    <w:rsid w:val="00293C47"/>
    <w:rsid w:val="00295007"/>
    <w:rsid w:val="002954A9"/>
    <w:rsid w:val="00296B26"/>
    <w:rsid w:val="00296B29"/>
    <w:rsid w:val="002978B8"/>
    <w:rsid w:val="002A2391"/>
    <w:rsid w:val="002A356D"/>
    <w:rsid w:val="002A371F"/>
    <w:rsid w:val="002A5112"/>
    <w:rsid w:val="002A568B"/>
    <w:rsid w:val="002A5A3D"/>
    <w:rsid w:val="002A6E7C"/>
    <w:rsid w:val="002B0472"/>
    <w:rsid w:val="002B351E"/>
    <w:rsid w:val="002B3CFE"/>
    <w:rsid w:val="002B3F71"/>
    <w:rsid w:val="002B582B"/>
    <w:rsid w:val="002B5B22"/>
    <w:rsid w:val="002B681B"/>
    <w:rsid w:val="002B6D26"/>
    <w:rsid w:val="002B769C"/>
    <w:rsid w:val="002C01D9"/>
    <w:rsid w:val="002C0657"/>
    <w:rsid w:val="002C0666"/>
    <w:rsid w:val="002C1A57"/>
    <w:rsid w:val="002C1EB4"/>
    <w:rsid w:val="002C1FDB"/>
    <w:rsid w:val="002C2C1B"/>
    <w:rsid w:val="002C36E7"/>
    <w:rsid w:val="002C488D"/>
    <w:rsid w:val="002D0C13"/>
    <w:rsid w:val="002D1790"/>
    <w:rsid w:val="002D1A70"/>
    <w:rsid w:val="002D3454"/>
    <w:rsid w:val="002D4C2E"/>
    <w:rsid w:val="002D4C3B"/>
    <w:rsid w:val="002D55F1"/>
    <w:rsid w:val="002E3651"/>
    <w:rsid w:val="002E369D"/>
    <w:rsid w:val="002E36A8"/>
    <w:rsid w:val="002E46F3"/>
    <w:rsid w:val="002E5E3C"/>
    <w:rsid w:val="002E6142"/>
    <w:rsid w:val="002E64AC"/>
    <w:rsid w:val="002F1084"/>
    <w:rsid w:val="002F3863"/>
    <w:rsid w:val="002F48EF"/>
    <w:rsid w:val="002F5ECF"/>
    <w:rsid w:val="002F69E8"/>
    <w:rsid w:val="002F72A2"/>
    <w:rsid w:val="002F7971"/>
    <w:rsid w:val="0030188B"/>
    <w:rsid w:val="00303556"/>
    <w:rsid w:val="003068C0"/>
    <w:rsid w:val="00306D44"/>
    <w:rsid w:val="003071EE"/>
    <w:rsid w:val="003105AB"/>
    <w:rsid w:val="003109D5"/>
    <w:rsid w:val="00312E17"/>
    <w:rsid w:val="00314B8A"/>
    <w:rsid w:val="00316A1B"/>
    <w:rsid w:val="00321022"/>
    <w:rsid w:val="00321053"/>
    <w:rsid w:val="00322779"/>
    <w:rsid w:val="00323575"/>
    <w:rsid w:val="00324949"/>
    <w:rsid w:val="00325B36"/>
    <w:rsid w:val="00327CB9"/>
    <w:rsid w:val="0033083C"/>
    <w:rsid w:val="00330B74"/>
    <w:rsid w:val="00332701"/>
    <w:rsid w:val="00333902"/>
    <w:rsid w:val="00334FCD"/>
    <w:rsid w:val="00335057"/>
    <w:rsid w:val="003368A7"/>
    <w:rsid w:val="00337782"/>
    <w:rsid w:val="00340D07"/>
    <w:rsid w:val="00341222"/>
    <w:rsid w:val="0034162F"/>
    <w:rsid w:val="00341770"/>
    <w:rsid w:val="0034231C"/>
    <w:rsid w:val="00344431"/>
    <w:rsid w:val="00344499"/>
    <w:rsid w:val="00345982"/>
    <w:rsid w:val="00347279"/>
    <w:rsid w:val="00347BE9"/>
    <w:rsid w:val="0035419F"/>
    <w:rsid w:val="00355469"/>
    <w:rsid w:val="00356E34"/>
    <w:rsid w:val="00357676"/>
    <w:rsid w:val="0036096D"/>
    <w:rsid w:val="0036098D"/>
    <w:rsid w:val="00361153"/>
    <w:rsid w:val="00361226"/>
    <w:rsid w:val="00361599"/>
    <w:rsid w:val="003626AF"/>
    <w:rsid w:val="003649ED"/>
    <w:rsid w:val="00364DB9"/>
    <w:rsid w:val="00365A19"/>
    <w:rsid w:val="003662EF"/>
    <w:rsid w:val="003705C5"/>
    <w:rsid w:val="00372562"/>
    <w:rsid w:val="00372F68"/>
    <w:rsid w:val="0037339F"/>
    <w:rsid w:val="00376121"/>
    <w:rsid w:val="00376B5D"/>
    <w:rsid w:val="00376FDF"/>
    <w:rsid w:val="003772E4"/>
    <w:rsid w:val="0038272D"/>
    <w:rsid w:val="003837B0"/>
    <w:rsid w:val="0038385E"/>
    <w:rsid w:val="00384703"/>
    <w:rsid w:val="00384DE7"/>
    <w:rsid w:val="00384F65"/>
    <w:rsid w:val="00385C1D"/>
    <w:rsid w:val="00386473"/>
    <w:rsid w:val="00386506"/>
    <w:rsid w:val="00391A31"/>
    <w:rsid w:val="003938E4"/>
    <w:rsid w:val="003946D8"/>
    <w:rsid w:val="00394A0D"/>
    <w:rsid w:val="00394F10"/>
    <w:rsid w:val="00395DBC"/>
    <w:rsid w:val="003963C4"/>
    <w:rsid w:val="0039725C"/>
    <w:rsid w:val="003A16E7"/>
    <w:rsid w:val="003A21E7"/>
    <w:rsid w:val="003A2F2C"/>
    <w:rsid w:val="003A38CA"/>
    <w:rsid w:val="003A3C30"/>
    <w:rsid w:val="003A40DB"/>
    <w:rsid w:val="003A410E"/>
    <w:rsid w:val="003A447A"/>
    <w:rsid w:val="003A4821"/>
    <w:rsid w:val="003A4A71"/>
    <w:rsid w:val="003A5F4F"/>
    <w:rsid w:val="003A6731"/>
    <w:rsid w:val="003A6E70"/>
    <w:rsid w:val="003A751F"/>
    <w:rsid w:val="003B01BC"/>
    <w:rsid w:val="003B12D7"/>
    <w:rsid w:val="003B33A1"/>
    <w:rsid w:val="003B3513"/>
    <w:rsid w:val="003B36DF"/>
    <w:rsid w:val="003B4323"/>
    <w:rsid w:val="003B4DAC"/>
    <w:rsid w:val="003B5100"/>
    <w:rsid w:val="003C09F6"/>
    <w:rsid w:val="003C0F52"/>
    <w:rsid w:val="003C10F1"/>
    <w:rsid w:val="003C1492"/>
    <w:rsid w:val="003C3282"/>
    <w:rsid w:val="003C3985"/>
    <w:rsid w:val="003C3E56"/>
    <w:rsid w:val="003C4999"/>
    <w:rsid w:val="003C6DD8"/>
    <w:rsid w:val="003C6E70"/>
    <w:rsid w:val="003C7DB5"/>
    <w:rsid w:val="003D11F9"/>
    <w:rsid w:val="003D1D60"/>
    <w:rsid w:val="003D2D2B"/>
    <w:rsid w:val="003D41C5"/>
    <w:rsid w:val="003D4A4F"/>
    <w:rsid w:val="003D5D8C"/>
    <w:rsid w:val="003D5EB8"/>
    <w:rsid w:val="003D6B33"/>
    <w:rsid w:val="003D782C"/>
    <w:rsid w:val="003D7DE4"/>
    <w:rsid w:val="003E2883"/>
    <w:rsid w:val="003E32F9"/>
    <w:rsid w:val="003E33AC"/>
    <w:rsid w:val="003E3941"/>
    <w:rsid w:val="003E44EA"/>
    <w:rsid w:val="003E67C8"/>
    <w:rsid w:val="003E7807"/>
    <w:rsid w:val="003F0441"/>
    <w:rsid w:val="003F0505"/>
    <w:rsid w:val="003F0F3F"/>
    <w:rsid w:val="003F2552"/>
    <w:rsid w:val="003F28B5"/>
    <w:rsid w:val="003F3877"/>
    <w:rsid w:val="003F4FF4"/>
    <w:rsid w:val="003F556C"/>
    <w:rsid w:val="003F6131"/>
    <w:rsid w:val="003F6315"/>
    <w:rsid w:val="003F7093"/>
    <w:rsid w:val="003F7DED"/>
    <w:rsid w:val="00400E09"/>
    <w:rsid w:val="00401C2A"/>
    <w:rsid w:val="00401EDB"/>
    <w:rsid w:val="004029A0"/>
    <w:rsid w:val="0040326F"/>
    <w:rsid w:val="00404C93"/>
    <w:rsid w:val="00405289"/>
    <w:rsid w:val="004073A2"/>
    <w:rsid w:val="00407877"/>
    <w:rsid w:val="004079C2"/>
    <w:rsid w:val="0041247F"/>
    <w:rsid w:val="004130B9"/>
    <w:rsid w:val="004142DF"/>
    <w:rsid w:val="00414C74"/>
    <w:rsid w:val="004162F8"/>
    <w:rsid w:val="004177C5"/>
    <w:rsid w:val="00420027"/>
    <w:rsid w:val="00423CD0"/>
    <w:rsid w:val="00424BCE"/>
    <w:rsid w:val="00426828"/>
    <w:rsid w:val="00426CC4"/>
    <w:rsid w:val="00427285"/>
    <w:rsid w:val="0043411E"/>
    <w:rsid w:val="00436C52"/>
    <w:rsid w:val="00440020"/>
    <w:rsid w:val="00440C39"/>
    <w:rsid w:val="00441A31"/>
    <w:rsid w:val="004440D8"/>
    <w:rsid w:val="004446AB"/>
    <w:rsid w:val="00444E09"/>
    <w:rsid w:val="00445188"/>
    <w:rsid w:val="004455F4"/>
    <w:rsid w:val="00445AB4"/>
    <w:rsid w:val="00446704"/>
    <w:rsid w:val="004478E4"/>
    <w:rsid w:val="0045169F"/>
    <w:rsid w:val="004546C5"/>
    <w:rsid w:val="00454D1E"/>
    <w:rsid w:val="0045589F"/>
    <w:rsid w:val="00455AAE"/>
    <w:rsid w:val="00455B45"/>
    <w:rsid w:val="00457772"/>
    <w:rsid w:val="004605EE"/>
    <w:rsid w:val="0046066E"/>
    <w:rsid w:val="00460BA2"/>
    <w:rsid w:val="0046125C"/>
    <w:rsid w:val="004622AE"/>
    <w:rsid w:val="00462E4D"/>
    <w:rsid w:val="00463612"/>
    <w:rsid w:val="00463918"/>
    <w:rsid w:val="00464350"/>
    <w:rsid w:val="004666D6"/>
    <w:rsid w:val="004704CD"/>
    <w:rsid w:val="0047067B"/>
    <w:rsid w:val="00471418"/>
    <w:rsid w:val="00471B59"/>
    <w:rsid w:val="004736AE"/>
    <w:rsid w:val="00473BE7"/>
    <w:rsid w:val="00475097"/>
    <w:rsid w:val="00476326"/>
    <w:rsid w:val="0047635D"/>
    <w:rsid w:val="00481D5C"/>
    <w:rsid w:val="00481DC1"/>
    <w:rsid w:val="004853AA"/>
    <w:rsid w:val="00485EA1"/>
    <w:rsid w:val="00485F42"/>
    <w:rsid w:val="00486395"/>
    <w:rsid w:val="004865A2"/>
    <w:rsid w:val="0048663E"/>
    <w:rsid w:val="004904F9"/>
    <w:rsid w:val="0049056A"/>
    <w:rsid w:val="00490DB8"/>
    <w:rsid w:val="00491CF8"/>
    <w:rsid w:val="00497654"/>
    <w:rsid w:val="004A0B20"/>
    <w:rsid w:val="004A1CFC"/>
    <w:rsid w:val="004A33BB"/>
    <w:rsid w:val="004A4133"/>
    <w:rsid w:val="004A42C5"/>
    <w:rsid w:val="004A5236"/>
    <w:rsid w:val="004A58CA"/>
    <w:rsid w:val="004A690D"/>
    <w:rsid w:val="004A7F75"/>
    <w:rsid w:val="004B02DE"/>
    <w:rsid w:val="004B1929"/>
    <w:rsid w:val="004B1D4D"/>
    <w:rsid w:val="004B1FE9"/>
    <w:rsid w:val="004B2183"/>
    <w:rsid w:val="004B4BC2"/>
    <w:rsid w:val="004B5574"/>
    <w:rsid w:val="004B703D"/>
    <w:rsid w:val="004B7122"/>
    <w:rsid w:val="004C6114"/>
    <w:rsid w:val="004C6413"/>
    <w:rsid w:val="004C6B25"/>
    <w:rsid w:val="004C7302"/>
    <w:rsid w:val="004C78C8"/>
    <w:rsid w:val="004C7DC1"/>
    <w:rsid w:val="004D00E0"/>
    <w:rsid w:val="004D0B1B"/>
    <w:rsid w:val="004D2B57"/>
    <w:rsid w:val="004D3FB2"/>
    <w:rsid w:val="004D5E83"/>
    <w:rsid w:val="004D78B0"/>
    <w:rsid w:val="004E0B59"/>
    <w:rsid w:val="004E22E2"/>
    <w:rsid w:val="004E568A"/>
    <w:rsid w:val="004E6DA9"/>
    <w:rsid w:val="004E7B90"/>
    <w:rsid w:val="004F007A"/>
    <w:rsid w:val="004F05EB"/>
    <w:rsid w:val="004F0F87"/>
    <w:rsid w:val="004F10BC"/>
    <w:rsid w:val="004F1AFC"/>
    <w:rsid w:val="004F2671"/>
    <w:rsid w:val="004F2B4F"/>
    <w:rsid w:val="004F3453"/>
    <w:rsid w:val="004F4A75"/>
    <w:rsid w:val="004F5F6D"/>
    <w:rsid w:val="005009A3"/>
    <w:rsid w:val="0050318E"/>
    <w:rsid w:val="00503F67"/>
    <w:rsid w:val="00505576"/>
    <w:rsid w:val="0050563F"/>
    <w:rsid w:val="00505A7E"/>
    <w:rsid w:val="00507103"/>
    <w:rsid w:val="00507AC2"/>
    <w:rsid w:val="0051015A"/>
    <w:rsid w:val="0051334A"/>
    <w:rsid w:val="00514C9C"/>
    <w:rsid w:val="00516E92"/>
    <w:rsid w:val="005212A1"/>
    <w:rsid w:val="005212C5"/>
    <w:rsid w:val="00523C13"/>
    <w:rsid w:val="00524645"/>
    <w:rsid w:val="00524F07"/>
    <w:rsid w:val="00524F7B"/>
    <w:rsid w:val="0052553B"/>
    <w:rsid w:val="005255B1"/>
    <w:rsid w:val="005257C2"/>
    <w:rsid w:val="005257D5"/>
    <w:rsid w:val="0052594A"/>
    <w:rsid w:val="005307C7"/>
    <w:rsid w:val="005309D1"/>
    <w:rsid w:val="00530A2B"/>
    <w:rsid w:val="00530B13"/>
    <w:rsid w:val="00532633"/>
    <w:rsid w:val="00534158"/>
    <w:rsid w:val="005355C3"/>
    <w:rsid w:val="00536320"/>
    <w:rsid w:val="005373AD"/>
    <w:rsid w:val="005400FF"/>
    <w:rsid w:val="005403F1"/>
    <w:rsid w:val="00541CC9"/>
    <w:rsid w:val="00542533"/>
    <w:rsid w:val="00543341"/>
    <w:rsid w:val="005443DA"/>
    <w:rsid w:val="0055134C"/>
    <w:rsid w:val="0055150E"/>
    <w:rsid w:val="00552A0E"/>
    <w:rsid w:val="005534A0"/>
    <w:rsid w:val="0055531D"/>
    <w:rsid w:val="00560C67"/>
    <w:rsid w:val="00560EBB"/>
    <w:rsid w:val="005624B6"/>
    <w:rsid w:val="00562C46"/>
    <w:rsid w:val="005633F6"/>
    <w:rsid w:val="00564546"/>
    <w:rsid w:val="0056784A"/>
    <w:rsid w:val="00570405"/>
    <w:rsid w:val="0057068E"/>
    <w:rsid w:val="00570B8F"/>
    <w:rsid w:val="00571386"/>
    <w:rsid w:val="0057237F"/>
    <w:rsid w:val="00573338"/>
    <w:rsid w:val="0057471B"/>
    <w:rsid w:val="005751B0"/>
    <w:rsid w:val="00575D99"/>
    <w:rsid w:val="00577291"/>
    <w:rsid w:val="00577341"/>
    <w:rsid w:val="00577402"/>
    <w:rsid w:val="005822CB"/>
    <w:rsid w:val="00583DB9"/>
    <w:rsid w:val="00584329"/>
    <w:rsid w:val="00584A05"/>
    <w:rsid w:val="00584B2F"/>
    <w:rsid w:val="00584D43"/>
    <w:rsid w:val="00584D5D"/>
    <w:rsid w:val="00585003"/>
    <w:rsid w:val="00586D8A"/>
    <w:rsid w:val="0059108A"/>
    <w:rsid w:val="00591939"/>
    <w:rsid w:val="00592446"/>
    <w:rsid w:val="005926E8"/>
    <w:rsid w:val="00593455"/>
    <w:rsid w:val="0059397A"/>
    <w:rsid w:val="00593AFB"/>
    <w:rsid w:val="005950C7"/>
    <w:rsid w:val="00596392"/>
    <w:rsid w:val="00596FEA"/>
    <w:rsid w:val="00597AB6"/>
    <w:rsid w:val="005A0F4B"/>
    <w:rsid w:val="005A1537"/>
    <w:rsid w:val="005A1D3C"/>
    <w:rsid w:val="005A23D6"/>
    <w:rsid w:val="005A2C01"/>
    <w:rsid w:val="005A3F34"/>
    <w:rsid w:val="005B0B74"/>
    <w:rsid w:val="005B1E75"/>
    <w:rsid w:val="005B2D03"/>
    <w:rsid w:val="005B2E97"/>
    <w:rsid w:val="005B39B9"/>
    <w:rsid w:val="005B4AA9"/>
    <w:rsid w:val="005B5A08"/>
    <w:rsid w:val="005B5D98"/>
    <w:rsid w:val="005C09D1"/>
    <w:rsid w:val="005C5CBF"/>
    <w:rsid w:val="005C6BA0"/>
    <w:rsid w:val="005C7614"/>
    <w:rsid w:val="005D2ECC"/>
    <w:rsid w:val="005D3B88"/>
    <w:rsid w:val="005D4066"/>
    <w:rsid w:val="005D45F5"/>
    <w:rsid w:val="005D6168"/>
    <w:rsid w:val="005D66B9"/>
    <w:rsid w:val="005D6BDA"/>
    <w:rsid w:val="005E07A3"/>
    <w:rsid w:val="005E104C"/>
    <w:rsid w:val="005E1A20"/>
    <w:rsid w:val="005E28F6"/>
    <w:rsid w:val="005E3FA8"/>
    <w:rsid w:val="005E483B"/>
    <w:rsid w:val="005E4D25"/>
    <w:rsid w:val="005E4D44"/>
    <w:rsid w:val="005E4D90"/>
    <w:rsid w:val="005E5477"/>
    <w:rsid w:val="005E5FDB"/>
    <w:rsid w:val="005E6AB3"/>
    <w:rsid w:val="005F03DD"/>
    <w:rsid w:val="005F0B2E"/>
    <w:rsid w:val="005F2DB4"/>
    <w:rsid w:val="005F3681"/>
    <w:rsid w:val="005F3C74"/>
    <w:rsid w:val="005F44FE"/>
    <w:rsid w:val="005F4CB4"/>
    <w:rsid w:val="005F57B0"/>
    <w:rsid w:val="005F5D77"/>
    <w:rsid w:val="005F6499"/>
    <w:rsid w:val="005F6B35"/>
    <w:rsid w:val="005F70B2"/>
    <w:rsid w:val="005F7486"/>
    <w:rsid w:val="0060009E"/>
    <w:rsid w:val="00601ED7"/>
    <w:rsid w:val="006025F6"/>
    <w:rsid w:val="0060276A"/>
    <w:rsid w:val="00603F2D"/>
    <w:rsid w:val="00604BBC"/>
    <w:rsid w:val="00605D2A"/>
    <w:rsid w:val="006061B2"/>
    <w:rsid w:val="00606521"/>
    <w:rsid w:val="006070A5"/>
    <w:rsid w:val="006102F1"/>
    <w:rsid w:val="00610886"/>
    <w:rsid w:val="006116E6"/>
    <w:rsid w:val="0061216A"/>
    <w:rsid w:val="00612289"/>
    <w:rsid w:val="006148DF"/>
    <w:rsid w:val="00615FDD"/>
    <w:rsid w:val="0061666F"/>
    <w:rsid w:val="006176E1"/>
    <w:rsid w:val="00617989"/>
    <w:rsid w:val="00620D6C"/>
    <w:rsid w:val="00624426"/>
    <w:rsid w:val="0062634A"/>
    <w:rsid w:val="00626BE8"/>
    <w:rsid w:val="00627479"/>
    <w:rsid w:val="006300C0"/>
    <w:rsid w:val="0063138A"/>
    <w:rsid w:val="00632E34"/>
    <w:rsid w:val="0063312B"/>
    <w:rsid w:val="006331D0"/>
    <w:rsid w:val="0063385C"/>
    <w:rsid w:val="006370D7"/>
    <w:rsid w:val="00637457"/>
    <w:rsid w:val="00637D3A"/>
    <w:rsid w:val="00640612"/>
    <w:rsid w:val="00640693"/>
    <w:rsid w:val="006410BD"/>
    <w:rsid w:val="0064227D"/>
    <w:rsid w:val="0064260F"/>
    <w:rsid w:val="00643BAD"/>
    <w:rsid w:val="006458A8"/>
    <w:rsid w:val="006466AE"/>
    <w:rsid w:val="00647020"/>
    <w:rsid w:val="00650508"/>
    <w:rsid w:val="00650869"/>
    <w:rsid w:val="00650E6A"/>
    <w:rsid w:val="0065179F"/>
    <w:rsid w:val="0065403C"/>
    <w:rsid w:val="00654167"/>
    <w:rsid w:val="006552CB"/>
    <w:rsid w:val="00656A55"/>
    <w:rsid w:val="00657593"/>
    <w:rsid w:val="00660B80"/>
    <w:rsid w:val="00660E4B"/>
    <w:rsid w:val="00663719"/>
    <w:rsid w:val="006638BC"/>
    <w:rsid w:val="00665FD1"/>
    <w:rsid w:val="00666206"/>
    <w:rsid w:val="006666D8"/>
    <w:rsid w:val="00667C76"/>
    <w:rsid w:val="006708A9"/>
    <w:rsid w:val="00670C95"/>
    <w:rsid w:val="00671520"/>
    <w:rsid w:val="0067237C"/>
    <w:rsid w:val="006763A3"/>
    <w:rsid w:val="00676BF6"/>
    <w:rsid w:val="0067744A"/>
    <w:rsid w:val="00677754"/>
    <w:rsid w:val="00680962"/>
    <w:rsid w:val="006812D9"/>
    <w:rsid w:val="006813A1"/>
    <w:rsid w:val="00685756"/>
    <w:rsid w:val="00685768"/>
    <w:rsid w:val="006902D4"/>
    <w:rsid w:val="00691FB6"/>
    <w:rsid w:val="006925CE"/>
    <w:rsid w:val="0069291F"/>
    <w:rsid w:val="00692C8C"/>
    <w:rsid w:val="006939EE"/>
    <w:rsid w:val="00697483"/>
    <w:rsid w:val="00697605"/>
    <w:rsid w:val="00697A18"/>
    <w:rsid w:val="006A1711"/>
    <w:rsid w:val="006A28A0"/>
    <w:rsid w:val="006A3BEB"/>
    <w:rsid w:val="006A73CA"/>
    <w:rsid w:val="006B15EE"/>
    <w:rsid w:val="006B1993"/>
    <w:rsid w:val="006B1EB8"/>
    <w:rsid w:val="006B2072"/>
    <w:rsid w:val="006B2748"/>
    <w:rsid w:val="006B465F"/>
    <w:rsid w:val="006B6C9D"/>
    <w:rsid w:val="006C06A1"/>
    <w:rsid w:val="006C0F22"/>
    <w:rsid w:val="006C13B1"/>
    <w:rsid w:val="006C2240"/>
    <w:rsid w:val="006C260B"/>
    <w:rsid w:val="006C298E"/>
    <w:rsid w:val="006C35C5"/>
    <w:rsid w:val="006C4176"/>
    <w:rsid w:val="006C51D2"/>
    <w:rsid w:val="006C66EF"/>
    <w:rsid w:val="006D0C57"/>
    <w:rsid w:val="006D13B5"/>
    <w:rsid w:val="006D1B0D"/>
    <w:rsid w:val="006D209E"/>
    <w:rsid w:val="006D24CA"/>
    <w:rsid w:val="006D2617"/>
    <w:rsid w:val="006D2F2D"/>
    <w:rsid w:val="006D3E6A"/>
    <w:rsid w:val="006D52FF"/>
    <w:rsid w:val="006D6BD2"/>
    <w:rsid w:val="006D7386"/>
    <w:rsid w:val="006E0782"/>
    <w:rsid w:val="006E20B8"/>
    <w:rsid w:val="006E2265"/>
    <w:rsid w:val="006E32DC"/>
    <w:rsid w:val="006E4BE5"/>
    <w:rsid w:val="006E55C0"/>
    <w:rsid w:val="006E5EB8"/>
    <w:rsid w:val="006E6454"/>
    <w:rsid w:val="006E69C2"/>
    <w:rsid w:val="006E74CE"/>
    <w:rsid w:val="006F18BB"/>
    <w:rsid w:val="006F3101"/>
    <w:rsid w:val="006F48AA"/>
    <w:rsid w:val="006F5D02"/>
    <w:rsid w:val="007008D6"/>
    <w:rsid w:val="00700AA3"/>
    <w:rsid w:val="00701302"/>
    <w:rsid w:val="0070244D"/>
    <w:rsid w:val="00705238"/>
    <w:rsid w:val="00706613"/>
    <w:rsid w:val="00706B01"/>
    <w:rsid w:val="00710466"/>
    <w:rsid w:val="00710B2B"/>
    <w:rsid w:val="00711082"/>
    <w:rsid w:val="007113F4"/>
    <w:rsid w:val="007142BA"/>
    <w:rsid w:val="00714823"/>
    <w:rsid w:val="007165AB"/>
    <w:rsid w:val="00717197"/>
    <w:rsid w:val="0071789F"/>
    <w:rsid w:val="00720916"/>
    <w:rsid w:val="00721556"/>
    <w:rsid w:val="007222EE"/>
    <w:rsid w:val="00722BFB"/>
    <w:rsid w:val="00727FEE"/>
    <w:rsid w:val="00730088"/>
    <w:rsid w:val="00731A84"/>
    <w:rsid w:val="00731E3C"/>
    <w:rsid w:val="00732308"/>
    <w:rsid w:val="00733227"/>
    <w:rsid w:val="00734005"/>
    <w:rsid w:val="0073452A"/>
    <w:rsid w:val="0074220B"/>
    <w:rsid w:val="007424C9"/>
    <w:rsid w:val="0074666A"/>
    <w:rsid w:val="00747222"/>
    <w:rsid w:val="007479B8"/>
    <w:rsid w:val="00747B18"/>
    <w:rsid w:val="00747BFA"/>
    <w:rsid w:val="00750574"/>
    <w:rsid w:val="00750898"/>
    <w:rsid w:val="0075415A"/>
    <w:rsid w:val="00757C07"/>
    <w:rsid w:val="00757E99"/>
    <w:rsid w:val="00761E67"/>
    <w:rsid w:val="00762B23"/>
    <w:rsid w:val="0076356A"/>
    <w:rsid w:val="007659D3"/>
    <w:rsid w:val="00766D9D"/>
    <w:rsid w:val="00767DE5"/>
    <w:rsid w:val="007711A2"/>
    <w:rsid w:val="00773023"/>
    <w:rsid w:val="00773559"/>
    <w:rsid w:val="007735A2"/>
    <w:rsid w:val="00773C9F"/>
    <w:rsid w:val="00774A95"/>
    <w:rsid w:val="007751D8"/>
    <w:rsid w:val="007756DB"/>
    <w:rsid w:val="00777043"/>
    <w:rsid w:val="00777279"/>
    <w:rsid w:val="007807B7"/>
    <w:rsid w:val="0078127A"/>
    <w:rsid w:val="00782DFE"/>
    <w:rsid w:val="00783AF2"/>
    <w:rsid w:val="00784A95"/>
    <w:rsid w:val="007854DE"/>
    <w:rsid w:val="007859B8"/>
    <w:rsid w:val="00786BC6"/>
    <w:rsid w:val="00786F11"/>
    <w:rsid w:val="00787452"/>
    <w:rsid w:val="00787E46"/>
    <w:rsid w:val="00790DB0"/>
    <w:rsid w:val="00794876"/>
    <w:rsid w:val="00795FEB"/>
    <w:rsid w:val="00797AF2"/>
    <w:rsid w:val="007A024B"/>
    <w:rsid w:val="007A23E5"/>
    <w:rsid w:val="007A2E16"/>
    <w:rsid w:val="007A305D"/>
    <w:rsid w:val="007A6609"/>
    <w:rsid w:val="007A78FD"/>
    <w:rsid w:val="007B060F"/>
    <w:rsid w:val="007B0B5C"/>
    <w:rsid w:val="007B1F65"/>
    <w:rsid w:val="007B21B6"/>
    <w:rsid w:val="007B2987"/>
    <w:rsid w:val="007B4ECF"/>
    <w:rsid w:val="007B6C42"/>
    <w:rsid w:val="007B6CB7"/>
    <w:rsid w:val="007B7505"/>
    <w:rsid w:val="007B7688"/>
    <w:rsid w:val="007B7B73"/>
    <w:rsid w:val="007C0AC0"/>
    <w:rsid w:val="007C16F9"/>
    <w:rsid w:val="007C26E8"/>
    <w:rsid w:val="007C292B"/>
    <w:rsid w:val="007C2CED"/>
    <w:rsid w:val="007C7A82"/>
    <w:rsid w:val="007D2501"/>
    <w:rsid w:val="007D35EC"/>
    <w:rsid w:val="007D50F6"/>
    <w:rsid w:val="007D56E8"/>
    <w:rsid w:val="007D74A2"/>
    <w:rsid w:val="007E1922"/>
    <w:rsid w:val="007E1F61"/>
    <w:rsid w:val="007E3AD9"/>
    <w:rsid w:val="007E4279"/>
    <w:rsid w:val="007E4867"/>
    <w:rsid w:val="007E50DD"/>
    <w:rsid w:val="007E5E09"/>
    <w:rsid w:val="007E6830"/>
    <w:rsid w:val="007E717A"/>
    <w:rsid w:val="007E72A9"/>
    <w:rsid w:val="007E75E2"/>
    <w:rsid w:val="007F0A45"/>
    <w:rsid w:val="007F0F79"/>
    <w:rsid w:val="007F13DF"/>
    <w:rsid w:val="007F16F3"/>
    <w:rsid w:val="007F2DC3"/>
    <w:rsid w:val="007F628D"/>
    <w:rsid w:val="007F7B6C"/>
    <w:rsid w:val="007F7BE5"/>
    <w:rsid w:val="00801B97"/>
    <w:rsid w:val="00802988"/>
    <w:rsid w:val="0080317C"/>
    <w:rsid w:val="0080507F"/>
    <w:rsid w:val="00807303"/>
    <w:rsid w:val="00807F2F"/>
    <w:rsid w:val="0081005A"/>
    <w:rsid w:val="00810F7B"/>
    <w:rsid w:val="008116C2"/>
    <w:rsid w:val="00812429"/>
    <w:rsid w:val="008131A5"/>
    <w:rsid w:val="00813484"/>
    <w:rsid w:val="00814E4F"/>
    <w:rsid w:val="008154F8"/>
    <w:rsid w:val="00816E1B"/>
    <w:rsid w:val="008172EB"/>
    <w:rsid w:val="008176E5"/>
    <w:rsid w:val="008177A4"/>
    <w:rsid w:val="00817BE0"/>
    <w:rsid w:val="00820F6E"/>
    <w:rsid w:val="008214CF"/>
    <w:rsid w:val="00821785"/>
    <w:rsid w:val="00821B1D"/>
    <w:rsid w:val="008238F3"/>
    <w:rsid w:val="00825375"/>
    <w:rsid w:val="0082706D"/>
    <w:rsid w:val="008274C0"/>
    <w:rsid w:val="0083054E"/>
    <w:rsid w:val="00833E68"/>
    <w:rsid w:val="00834626"/>
    <w:rsid w:val="0083559B"/>
    <w:rsid w:val="0083690D"/>
    <w:rsid w:val="00840A76"/>
    <w:rsid w:val="008415A0"/>
    <w:rsid w:val="00846257"/>
    <w:rsid w:val="008464E9"/>
    <w:rsid w:val="008466BA"/>
    <w:rsid w:val="00847789"/>
    <w:rsid w:val="00847FA4"/>
    <w:rsid w:val="0085089C"/>
    <w:rsid w:val="0085181D"/>
    <w:rsid w:val="00851AF8"/>
    <w:rsid w:val="008527CB"/>
    <w:rsid w:val="00853082"/>
    <w:rsid w:val="0085364B"/>
    <w:rsid w:val="00856C63"/>
    <w:rsid w:val="008602BA"/>
    <w:rsid w:val="00860470"/>
    <w:rsid w:val="00860489"/>
    <w:rsid w:val="008616D8"/>
    <w:rsid w:val="008645F8"/>
    <w:rsid w:val="008651F0"/>
    <w:rsid w:val="00865BF3"/>
    <w:rsid w:val="00866993"/>
    <w:rsid w:val="008719FC"/>
    <w:rsid w:val="00872C6F"/>
    <w:rsid w:val="00874366"/>
    <w:rsid w:val="00874749"/>
    <w:rsid w:val="00874B5C"/>
    <w:rsid w:val="0087566F"/>
    <w:rsid w:val="00875E31"/>
    <w:rsid w:val="008762D8"/>
    <w:rsid w:val="008766F5"/>
    <w:rsid w:val="008772F5"/>
    <w:rsid w:val="00877D80"/>
    <w:rsid w:val="00877DEE"/>
    <w:rsid w:val="008800F1"/>
    <w:rsid w:val="008802F0"/>
    <w:rsid w:val="00880ACB"/>
    <w:rsid w:val="0088501C"/>
    <w:rsid w:val="008851A1"/>
    <w:rsid w:val="008865F3"/>
    <w:rsid w:val="0088677F"/>
    <w:rsid w:val="00887C79"/>
    <w:rsid w:val="0089071B"/>
    <w:rsid w:val="00890809"/>
    <w:rsid w:val="0089155D"/>
    <w:rsid w:val="00891A48"/>
    <w:rsid w:val="008942C3"/>
    <w:rsid w:val="00894679"/>
    <w:rsid w:val="008953FA"/>
    <w:rsid w:val="0089603D"/>
    <w:rsid w:val="00896795"/>
    <w:rsid w:val="00897035"/>
    <w:rsid w:val="008A2116"/>
    <w:rsid w:val="008A3263"/>
    <w:rsid w:val="008A396D"/>
    <w:rsid w:val="008A3B09"/>
    <w:rsid w:val="008A4AAD"/>
    <w:rsid w:val="008A69DB"/>
    <w:rsid w:val="008B1589"/>
    <w:rsid w:val="008B1DAB"/>
    <w:rsid w:val="008B2F8C"/>
    <w:rsid w:val="008B3AB2"/>
    <w:rsid w:val="008B5393"/>
    <w:rsid w:val="008B5CF2"/>
    <w:rsid w:val="008B74DD"/>
    <w:rsid w:val="008C0BA4"/>
    <w:rsid w:val="008C1A96"/>
    <w:rsid w:val="008C2D4E"/>
    <w:rsid w:val="008C2D95"/>
    <w:rsid w:val="008C3F00"/>
    <w:rsid w:val="008C6977"/>
    <w:rsid w:val="008C72B5"/>
    <w:rsid w:val="008D0BD8"/>
    <w:rsid w:val="008D10FD"/>
    <w:rsid w:val="008D122F"/>
    <w:rsid w:val="008D31B8"/>
    <w:rsid w:val="008D5593"/>
    <w:rsid w:val="008D55C4"/>
    <w:rsid w:val="008D573F"/>
    <w:rsid w:val="008D5F60"/>
    <w:rsid w:val="008D63B0"/>
    <w:rsid w:val="008D6BB1"/>
    <w:rsid w:val="008D727F"/>
    <w:rsid w:val="008E01BE"/>
    <w:rsid w:val="008E0DB9"/>
    <w:rsid w:val="008E1E64"/>
    <w:rsid w:val="008E2168"/>
    <w:rsid w:val="008E3445"/>
    <w:rsid w:val="008E5CEF"/>
    <w:rsid w:val="008F0210"/>
    <w:rsid w:val="008F076F"/>
    <w:rsid w:val="008F1C5E"/>
    <w:rsid w:val="008F2600"/>
    <w:rsid w:val="008F3D98"/>
    <w:rsid w:val="008F5D52"/>
    <w:rsid w:val="008F7085"/>
    <w:rsid w:val="00900067"/>
    <w:rsid w:val="00902404"/>
    <w:rsid w:val="009037A9"/>
    <w:rsid w:val="0090382C"/>
    <w:rsid w:val="00904429"/>
    <w:rsid w:val="00904F17"/>
    <w:rsid w:val="00910C6E"/>
    <w:rsid w:val="00911776"/>
    <w:rsid w:val="0091372E"/>
    <w:rsid w:val="00914CE8"/>
    <w:rsid w:val="00917B7A"/>
    <w:rsid w:val="009200A7"/>
    <w:rsid w:val="00921D29"/>
    <w:rsid w:val="00922966"/>
    <w:rsid w:val="00922A8C"/>
    <w:rsid w:val="00923BEC"/>
    <w:rsid w:val="009257F1"/>
    <w:rsid w:val="00926172"/>
    <w:rsid w:val="0092710A"/>
    <w:rsid w:val="00927FDF"/>
    <w:rsid w:val="009306DF"/>
    <w:rsid w:val="009322D2"/>
    <w:rsid w:val="0093240B"/>
    <w:rsid w:val="009342C0"/>
    <w:rsid w:val="00934B8F"/>
    <w:rsid w:val="00935E3F"/>
    <w:rsid w:val="009366AE"/>
    <w:rsid w:val="00937240"/>
    <w:rsid w:val="00937AE3"/>
    <w:rsid w:val="00937D24"/>
    <w:rsid w:val="00940883"/>
    <w:rsid w:val="009427C8"/>
    <w:rsid w:val="00943175"/>
    <w:rsid w:val="00944CE0"/>
    <w:rsid w:val="00945667"/>
    <w:rsid w:val="00945A61"/>
    <w:rsid w:val="00946AD6"/>
    <w:rsid w:val="00950C77"/>
    <w:rsid w:val="0095109E"/>
    <w:rsid w:val="009528A5"/>
    <w:rsid w:val="009535B8"/>
    <w:rsid w:val="0095703C"/>
    <w:rsid w:val="0095741D"/>
    <w:rsid w:val="00957728"/>
    <w:rsid w:val="0096201F"/>
    <w:rsid w:val="00967B3E"/>
    <w:rsid w:val="00970373"/>
    <w:rsid w:val="009712A7"/>
    <w:rsid w:val="0097288F"/>
    <w:rsid w:val="0097449A"/>
    <w:rsid w:val="009750F9"/>
    <w:rsid w:val="0097552A"/>
    <w:rsid w:val="0097663B"/>
    <w:rsid w:val="0097716F"/>
    <w:rsid w:val="009771B5"/>
    <w:rsid w:val="0097748B"/>
    <w:rsid w:val="0098207E"/>
    <w:rsid w:val="00983263"/>
    <w:rsid w:val="00983EDA"/>
    <w:rsid w:val="009848C4"/>
    <w:rsid w:val="0098643A"/>
    <w:rsid w:val="00986A5C"/>
    <w:rsid w:val="0099064E"/>
    <w:rsid w:val="00990AAE"/>
    <w:rsid w:val="009915FB"/>
    <w:rsid w:val="009923D5"/>
    <w:rsid w:val="00992EBC"/>
    <w:rsid w:val="009932C0"/>
    <w:rsid w:val="00995D30"/>
    <w:rsid w:val="00996CB3"/>
    <w:rsid w:val="009973AA"/>
    <w:rsid w:val="009A0379"/>
    <w:rsid w:val="009A08A6"/>
    <w:rsid w:val="009A09CD"/>
    <w:rsid w:val="009A3252"/>
    <w:rsid w:val="009A5CAE"/>
    <w:rsid w:val="009A604F"/>
    <w:rsid w:val="009A6FCE"/>
    <w:rsid w:val="009B27AE"/>
    <w:rsid w:val="009B3CAC"/>
    <w:rsid w:val="009B5713"/>
    <w:rsid w:val="009B6120"/>
    <w:rsid w:val="009C0BE6"/>
    <w:rsid w:val="009C16AE"/>
    <w:rsid w:val="009C19E6"/>
    <w:rsid w:val="009C2F76"/>
    <w:rsid w:val="009C5AD4"/>
    <w:rsid w:val="009C62C5"/>
    <w:rsid w:val="009C6AE7"/>
    <w:rsid w:val="009C758C"/>
    <w:rsid w:val="009D0410"/>
    <w:rsid w:val="009D3324"/>
    <w:rsid w:val="009D6104"/>
    <w:rsid w:val="009E00B2"/>
    <w:rsid w:val="009E2A07"/>
    <w:rsid w:val="009E3789"/>
    <w:rsid w:val="009E49FA"/>
    <w:rsid w:val="009E5076"/>
    <w:rsid w:val="009E61D4"/>
    <w:rsid w:val="009E655F"/>
    <w:rsid w:val="009E6D5D"/>
    <w:rsid w:val="009E738F"/>
    <w:rsid w:val="009F0F9C"/>
    <w:rsid w:val="009F21DD"/>
    <w:rsid w:val="009F39B1"/>
    <w:rsid w:val="009F3A1F"/>
    <w:rsid w:val="009F4F79"/>
    <w:rsid w:val="009F5312"/>
    <w:rsid w:val="009F6552"/>
    <w:rsid w:val="009F69AF"/>
    <w:rsid w:val="00A00798"/>
    <w:rsid w:val="00A00F23"/>
    <w:rsid w:val="00A021CD"/>
    <w:rsid w:val="00A02655"/>
    <w:rsid w:val="00A02AEC"/>
    <w:rsid w:val="00A04F38"/>
    <w:rsid w:val="00A058D3"/>
    <w:rsid w:val="00A0594A"/>
    <w:rsid w:val="00A05C97"/>
    <w:rsid w:val="00A0614C"/>
    <w:rsid w:val="00A1051E"/>
    <w:rsid w:val="00A10B14"/>
    <w:rsid w:val="00A11E8C"/>
    <w:rsid w:val="00A12806"/>
    <w:rsid w:val="00A12930"/>
    <w:rsid w:val="00A12C47"/>
    <w:rsid w:val="00A13378"/>
    <w:rsid w:val="00A13531"/>
    <w:rsid w:val="00A15DAC"/>
    <w:rsid w:val="00A16F4D"/>
    <w:rsid w:val="00A17C4C"/>
    <w:rsid w:val="00A22611"/>
    <w:rsid w:val="00A231CE"/>
    <w:rsid w:val="00A23697"/>
    <w:rsid w:val="00A23E04"/>
    <w:rsid w:val="00A25535"/>
    <w:rsid w:val="00A30B14"/>
    <w:rsid w:val="00A31205"/>
    <w:rsid w:val="00A31C6F"/>
    <w:rsid w:val="00A32817"/>
    <w:rsid w:val="00A3347A"/>
    <w:rsid w:val="00A341A1"/>
    <w:rsid w:val="00A3569B"/>
    <w:rsid w:val="00A36DC6"/>
    <w:rsid w:val="00A36E10"/>
    <w:rsid w:val="00A401A0"/>
    <w:rsid w:val="00A40EE2"/>
    <w:rsid w:val="00A44530"/>
    <w:rsid w:val="00A4536C"/>
    <w:rsid w:val="00A454AF"/>
    <w:rsid w:val="00A464FC"/>
    <w:rsid w:val="00A46C15"/>
    <w:rsid w:val="00A46E3E"/>
    <w:rsid w:val="00A50DC0"/>
    <w:rsid w:val="00A512DF"/>
    <w:rsid w:val="00A52DBB"/>
    <w:rsid w:val="00A52FA6"/>
    <w:rsid w:val="00A6014B"/>
    <w:rsid w:val="00A61EDA"/>
    <w:rsid w:val="00A63695"/>
    <w:rsid w:val="00A6398B"/>
    <w:rsid w:val="00A644CF"/>
    <w:rsid w:val="00A64D2E"/>
    <w:rsid w:val="00A6574A"/>
    <w:rsid w:val="00A6644D"/>
    <w:rsid w:val="00A664F4"/>
    <w:rsid w:val="00A67E71"/>
    <w:rsid w:val="00A70C74"/>
    <w:rsid w:val="00A70D97"/>
    <w:rsid w:val="00A71D94"/>
    <w:rsid w:val="00A72F06"/>
    <w:rsid w:val="00A730F2"/>
    <w:rsid w:val="00A737E7"/>
    <w:rsid w:val="00A75FD8"/>
    <w:rsid w:val="00A76F07"/>
    <w:rsid w:val="00A77BCF"/>
    <w:rsid w:val="00A77FFD"/>
    <w:rsid w:val="00A801D5"/>
    <w:rsid w:val="00A80521"/>
    <w:rsid w:val="00A80CA1"/>
    <w:rsid w:val="00A811E3"/>
    <w:rsid w:val="00A811E5"/>
    <w:rsid w:val="00A8332A"/>
    <w:rsid w:val="00A8335D"/>
    <w:rsid w:val="00A8373E"/>
    <w:rsid w:val="00A83ACC"/>
    <w:rsid w:val="00A83EC2"/>
    <w:rsid w:val="00A84C86"/>
    <w:rsid w:val="00A85B1A"/>
    <w:rsid w:val="00A8625A"/>
    <w:rsid w:val="00A8716B"/>
    <w:rsid w:val="00A927F6"/>
    <w:rsid w:val="00A93617"/>
    <w:rsid w:val="00A93EBA"/>
    <w:rsid w:val="00AA00EC"/>
    <w:rsid w:val="00AA1A32"/>
    <w:rsid w:val="00AA3645"/>
    <w:rsid w:val="00AA41B7"/>
    <w:rsid w:val="00AB0F93"/>
    <w:rsid w:val="00AB1208"/>
    <w:rsid w:val="00AB1470"/>
    <w:rsid w:val="00AB325E"/>
    <w:rsid w:val="00AB4554"/>
    <w:rsid w:val="00AB63ED"/>
    <w:rsid w:val="00AB6D01"/>
    <w:rsid w:val="00AB6D9C"/>
    <w:rsid w:val="00AB7399"/>
    <w:rsid w:val="00AC0E1A"/>
    <w:rsid w:val="00AC14E9"/>
    <w:rsid w:val="00AC298A"/>
    <w:rsid w:val="00AC32BB"/>
    <w:rsid w:val="00AC47B6"/>
    <w:rsid w:val="00AC6478"/>
    <w:rsid w:val="00AC65B3"/>
    <w:rsid w:val="00AC6958"/>
    <w:rsid w:val="00AD15FF"/>
    <w:rsid w:val="00AD2F55"/>
    <w:rsid w:val="00AD595B"/>
    <w:rsid w:val="00AD6D37"/>
    <w:rsid w:val="00AD7DF9"/>
    <w:rsid w:val="00AE0B2D"/>
    <w:rsid w:val="00AE1815"/>
    <w:rsid w:val="00AE29BB"/>
    <w:rsid w:val="00AE2B5C"/>
    <w:rsid w:val="00AE2CAF"/>
    <w:rsid w:val="00AE34FE"/>
    <w:rsid w:val="00AE45D9"/>
    <w:rsid w:val="00AE57D3"/>
    <w:rsid w:val="00AE5EA2"/>
    <w:rsid w:val="00AE6C90"/>
    <w:rsid w:val="00AF00EE"/>
    <w:rsid w:val="00AF0C5C"/>
    <w:rsid w:val="00AF0FDE"/>
    <w:rsid w:val="00AF33D9"/>
    <w:rsid w:val="00AF3588"/>
    <w:rsid w:val="00AF4D61"/>
    <w:rsid w:val="00AF7751"/>
    <w:rsid w:val="00AF79A7"/>
    <w:rsid w:val="00AF7D07"/>
    <w:rsid w:val="00B002E4"/>
    <w:rsid w:val="00B01A4F"/>
    <w:rsid w:val="00B02533"/>
    <w:rsid w:val="00B02C71"/>
    <w:rsid w:val="00B02E20"/>
    <w:rsid w:val="00B05C21"/>
    <w:rsid w:val="00B05C4B"/>
    <w:rsid w:val="00B064CA"/>
    <w:rsid w:val="00B0672E"/>
    <w:rsid w:val="00B06FFA"/>
    <w:rsid w:val="00B101F9"/>
    <w:rsid w:val="00B10824"/>
    <w:rsid w:val="00B13F7A"/>
    <w:rsid w:val="00B21F66"/>
    <w:rsid w:val="00B25406"/>
    <w:rsid w:val="00B255FB"/>
    <w:rsid w:val="00B269B7"/>
    <w:rsid w:val="00B27893"/>
    <w:rsid w:val="00B32228"/>
    <w:rsid w:val="00B332B2"/>
    <w:rsid w:val="00B334EF"/>
    <w:rsid w:val="00B34CCC"/>
    <w:rsid w:val="00B35099"/>
    <w:rsid w:val="00B35496"/>
    <w:rsid w:val="00B35A6F"/>
    <w:rsid w:val="00B36EC7"/>
    <w:rsid w:val="00B36EDD"/>
    <w:rsid w:val="00B36F0F"/>
    <w:rsid w:val="00B37EBD"/>
    <w:rsid w:val="00B410F0"/>
    <w:rsid w:val="00B41699"/>
    <w:rsid w:val="00B418B9"/>
    <w:rsid w:val="00B47C05"/>
    <w:rsid w:val="00B47FBB"/>
    <w:rsid w:val="00B50456"/>
    <w:rsid w:val="00B51E7C"/>
    <w:rsid w:val="00B52D53"/>
    <w:rsid w:val="00B53B9E"/>
    <w:rsid w:val="00B53CEA"/>
    <w:rsid w:val="00B55724"/>
    <w:rsid w:val="00B56590"/>
    <w:rsid w:val="00B57F9D"/>
    <w:rsid w:val="00B61BF5"/>
    <w:rsid w:val="00B61C97"/>
    <w:rsid w:val="00B628C5"/>
    <w:rsid w:val="00B64296"/>
    <w:rsid w:val="00B64413"/>
    <w:rsid w:val="00B6528C"/>
    <w:rsid w:val="00B657FD"/>
    <w:rsid w:val="00B65CE9"/>
    <w:rsid w:val="00B65F03"/>
    <w:rsid w:val="00B67438"/>
    <w:rsid w:val="00B6753A"/>
    <w:rsid w:val="00B67EBE"/>
    <w:rsid w:val="00B70130"/>
    <w:rsid w:val="00B70551"/>
    <w:rsid w:val="00B706D2"/>
    <w:rsid w:val="00B70FB0"/>
    <w:rsid w:val="00B71933"/>
    <w:rsid w:val="00B721CA"/>
    <w:rsid w:val="00B742C4"/>
    <w:rsid w:val="00B77108"/>
    <w:rsid w:val="00B7721D"/>
    <w:rsid w:val="00B8078D"/>
    <w:rsid w:val="00B813DF"/>
    <w:rsid w:val="00B81AE2"/>
    <w:rsid w:val="00B838E6"/>
    <w:rsid w:val="00B839B8"/>
    <w:rsid w:val="00B853FE"/>
    <w:rsid w:val="00B85C62"/>
    <w:rsid w:val="00B861C6"/>
    <w:rsid w:val="00B87121"/>
    <w:rsid w:val="00B8735D"/>
    <w:rsid w:val="00B90212"/>
    <w:rsid w:val="00B90F2C"/>
    <w:rsid w:val="00B911CE"/>
    <w:rsid w:val="00B93BA5"/>
    <w:rsid w:val="00B95844"/>
    <w:rsid w:val="00B96230"/>
    <w:rsid w:val="00B965DF"/>
    <w:rsid w:val="00B96F43"/>
    <w:rsid w:val="00B971EC"/>
    <w:rsid w:val="00BA0227"/>
    <w:rsid w:val="00BA278D"/>
    <w:rsid w:val="00BA5EA7"/>
    <w:rsid w:val="00BA6123"/>
    <w:rsid w:val="00BA75AD"/>
    <w:rsid w:val="00BB170C"/>
    <w:rsid w:val="00BB1F38"/>
    <w:rsid w:val="00BB2ACE"/>
    <w:rsid w:val="00BB387D"/>
    <w:rsid w:val="00BB3AB4"/>
    <w:rsid w:val="00BB6BC3"/>
    <w:rsid w:val="00BB6C6D"/>
    <w:rsid w:val="00BC0390"/>
    <w:rsid w:val="00BC0D37"/>
    <w:rsid w:val="00BC1A21"/>
    <w:rsid w:val="00BC259C"/>
    <w:rsid w:val="00BC3943"/>
    <w:rsid w:val="00BC47C9"/>
    <w:rsid w:val="00BC485F"/>
    <w:rsid w:val="00BC5AB1"/>
    <w:rsid w:val="00BC6914"/>
    <w:rsid w:val="00BC7BB4"/>
    <w:rsid w:val="00BC7E6C"/>
    <w:rsid w:val="00BD0090"/>
    <w:rsid w:val="00BD0BB4"/>
    <w:rsid w:val="00BD12A3"/>
    <w:rsid w:val="00BD3136"/>
    <w:rsid w:val="00BD3344"/>
    <w:rsid w:val="00BD35D1"/>
    <w:rsid w:val="00BD3FFC"/>
    <w:rsid w:val="00BD48DD"/>
    <w:rsid w:val="00BD4F00"/>
    <w:rsid w:val="00BD6D34"/>
    <w:rsid w:val="00BD7E97"/>
    <w:rsid w:val="00BD7F6E"/>
    <w:rsid w:val="00BE1EE1"/>
    <w:rsid w:val="00BE3521"/>
    <w:rsid w:val="00BE4645"/>
    <w:rsid w:val="00BE63BE"/>
    <w:rsid w:val="00BE74A7"/>
    <w:rsid w:val="00BF154E"/>
    <w:rsid w:val="00BF195F"/>
    <w:rsid w:val="00BF1AA3"/>
    <w:rsid w:val="00BF23C3"/>
    <w:rsid w:val="00BF24B4"/>
    <w:rsid w:val="00BF311E"/>
    <w:rsid w:val="00BF339F"/>
    <w:rsid w:val="00BF3731"/>
    <w:rsid w:val="00BF3891"/>
    <w:rsid w:val="00BF47B0"/>
    <w:rsid w:val="00BF5327"/>
    <w:rsid w:val="00BF71B8"/>
    <w:rsid w:val="00BF7632"/>
    <w:rsid w:val="00BF7B64"/>
    <w:rsid w:val="00BF7C3B"/>
    <w:rsid w:val="00C01F45"/>
    <w:rsid w:val="00C02274"/>
    <w:rsid w:val="00C031AB"/>
    <w:rsid w:val="00C06151"/>
    <w:rsid w:val="00C06A88"/>
    <w:rsid w:val="00C07B5C"/>
    <w:rsid w:val="00C07E44"/>
    <w:rsid w:val="00C1020D"/>
    <w:rsid w:val="00C12888"/>
    <w:rsid w:val="00C13389"/>
    <w:rsid w:val="00C14C55"/>
    <w:rsid w:val="00C150FC"/>
    <w:rsid w:val="00C170D8"/>
    <w:rsid w:val="00C1763E"/>
    <w:rsid w:val="00C17DA6"/>
    <w:rsid w:val="00C20D23"/>
    <w:rsid w:val="00C21D33"/>
    <w:rsid w:val="00C23551"/>
    <w:rsid w:val="00C248ED"/>
    <w:rsid w:val="00C25545"/>
    <w:rsid w:val="00C25944"/>
    <w:rsid w:val="00C25FB5"/>
    <w:rsid w:val="00C26FDC"/>
    <w:rsid w:val="00C27737"/>
    <w:rsid w:val="00C27D58"/>
    <w:rsid w:val="00C30AA9"/>
    <w:rsid w:val="00C31FB2"/>
    <w:rsid w:val="00C32536"/>
    <w:rsid w:val="00C32E64"/>
    <w:rsid w:val="00C3382F"/>
    <w:rsid w:val="00C33F15"/>
    <w:rsid w:val="00C34E47"/>
    <w:rsid w:val="00C35C2E"/>
    <w:rsid w:val="00C36023"/>
    <w:rsid w:val="00C3618D"/>
    <w:rsid w:val="00C37359"/>
    <w:rsid w:val="00C4211B"/>
    <w:rsid w:val="00C42DFD"/>
    <w:rsid w:val="00C4377C"/>
    <w:rsid w:val="00C43837"/>
    <w:rsid w:val="00C43D17"/>
    <w:rsid w:val="00C465C1"/>
    <w:rsid w:val="00C47F0F"/>
    <w:rsid w:val="00C50A4B"/>
    <w:rsid w:val="00C51D84"/>
    <w:rsid w:val="00C52506"/>
    <w:rsid w:val="00C52760"/>
    <w:rsid w:val="00C5408F"/>
    <w:rsid w:val="00C541B6"/>
    <w:rsid w:val="00C55496"/>
    <w:rsid w:val="00C569D3"/>
    <w:rsid w:val="00C57877"/>
    <w:rsid w:val="00C57F18"/>
    <w:rsid w:val="00C602DD"/>
    <w:rsid w:val="00C625D7"/>
    <w:rsid w:val="00C63C51"/>
    <w:rsid w:val="00C64B03"/>
    <w:rsid w:val="00C658D4"/>
    <w:rsid w:val="00C6642C"/>
    <w:rsid w:val="00C6688B"/>
    <w:rsid w:val="00C71351"/>
    <w:rsid w:val="00C7160C"/>
    <w:rsid w:val="00C71BD3"/>
    <w:rsid w:val="00C71F5D"/>
    <w:rsid w:val="00C7513E"/>
    <w:rsid w:val="00C76F04"/>
    <w:rsid w:val="00C80B00"/>
    <w:rsid w:val="00C81473"/>
    <w:rsid w:val="00C81E7D"/>
    <w:rsid w:val="00C81F2C"/>
    <w:rsid w:val="00C82259"/>
    <w:rsid w:val="00C8241E"/>
    <w:rsid w:val="00C8737B"/>
    <w:rsid w:val="00C874EC"/>
    <w:rsid w:val="00C87512"/>
    <w:rsid w:val="00C87FFC"/>
    <w:rsid w:val="00C91EC0"/>
    <w:rsid w:val="00C9297C"/>
    <w:rsid w:val="00C94014"/>
    <w:rsid w:val="00C95F62"/>
    <w:rsid w:val="00C977F0"/>
    <w:rsid w:val="00C97BB7"/>
    <w:rsid w:val="00C97CAA"/>
    <w:rsid w:val="00CA30EF"/>
    <w:rsid w:val="00CA6889"/>
    <w:rsid w:val="00CA6F2C"/>
    <w:rsid w:val="00CA73AD"/>
    <w:rsid w:val="00CA758B"/>
    <w:rsid w:val="00CB0240"/>
    <w:rsid w:val="00CB0A99"/>
    <w:rsid w:val="00CB332E"/>
    <w:rsid w:val="00CB4BE6"/>
    <w:rsid w:val="00CB5A09"/>
    <w:rsid w:val="00CB5F6E"/>
    <w:rsid w:val="00CB655A"/>
    <w:rsid w:val="00CC0383"/>
    <w:rsid w:val="00CC2266"/>
    <w:rsid w:val="00CC24BC"/>
    <w:rsid w:val="00CC279D"/>
    <w:rsid w:val="00CC2F94"/>
    <w:rsid w:val="00CC357C"/>
    <w:rsid w:val="00CC7248"/>
    <w:rsid w:val="00CC7FD0"/>
    <w:rsid w:val="00CD06D7"/>
    <w:rsid w:val="00CD0CD4"/>
    <w:rsid w:val="00CD14B4"/>
    <w:rsid w:val="00CD23B7"/>
    <w:rsid w:val="00CD2524"/>
    <w:rsid w:val="00CD4657"/>
    <w:rsid w:val="00CD490E"/>
    <w:rsid w:val="00CD4FF2"/>
    <w:rsid w:val="00CD5BCB"/>
    <w:rsid w:val="00CE12D2"/>
    <w:rsid w:val="00CE2648"/>
    <w:rsid w:val="00CE338C"/>
    <w:rsid w:val="00CE346E"/>
    <w:rsid w:val="00CE3B9F"/>
    <w:rsid w:val="00CE6304"/>
    <w:rsid w:val="00CE7183"/>
    <w:rsid w:val="00CE77E3"/>
    <w:rsid w:val="00CF1FB8"/>
    <w:rsid w:val="00CF238C"/>
    <w:rsid w:val="00CF2C65"/>
    <w:rsid w:val="00CF3CD0"/>
    <w:rsid w:val="00CF4956"/>
    <w:rsid w:val="00CF546E"/>
    <w:rsid w:val="00CF5862"/>
    <w:rsid w:val="00D001F1"/>
    <w:rsid w:val="00D00921"/>
    <w:rsid w:val="00D00B54"/>
    <w:rsid w:val="00D011FF"/>
    <w:rsid w:val="00D01AB0"/>
    <w:rsid w:val="00D02544"/>
    <w:rsid w:val="00D02EEB"/>
    <w:rsid w:val="00D03335"/>
    <w:rsid w:val="00D03850"/>
    <w:rsid w:val="00D044EF"/>
    <w:rsid w:val="00D062AF"/>
    <w:rsid w:val="00D062C3"/>
    <w:rsid w:val="00D0640E"/>
    <w:rsid w:val="00D06C08"/>
    <w:rsid w:val="00D077D7"/>
    <w:rsid w:val="00D07882"/>
    <w:rsid w:val="00D078B6"/>
    <w:rsid w:val="00D07FD4"/>
    <w:rsid w:val="00D1022C"/>
    <w:rsid w:val="00D10354"/>
    <w:rsid w:val="00D10E20"/>
    <w:rsid w:val="00D11293"/>
    <w:rsid w:val="00D11EAB"/>
    <w:rsid w:val="00D123D5"/>
    <w:rsid w:val="00D133BF"/>
    <w:rsid w:val="00D15550"/>
    <w:rsid w:val="00D1592B"/>
    <w:rsid w:val="00D15972"/>
    <w:rsid w:val="00D15C09"/>
    <w:rsid w:val="00D212F1"/>
    <w:rsid w:val="00D21FC4"/>
    <w:rsid w:val="00D231E0"/>
    <w:rsid w:val="00D24B2B"/>
    <w:rsid w:val="00D25B95"/>
    <w:rsid w:val="00D26415"/>
    <w:rsid w:val="00D27115"/>
    <w:rsid w:val="00D339FA"/>
    <w:rsid w:val="00D34DCC"/>
    <w:rsid w:val="00D411AA"/>
    <w:rsid w:val="00D4130B"/>
    <w:rsid w:val="00D4231A"/>
    <w:rsid w:val="00D4266D"/>
    <w:rsid w:val="00D50C8C"/>
    <w:rsid w:val="00D510AC"/>
    <w:rsid w:val="00D512DB"/>
    <w:rsid w:val="00D51C07"/>
    <w:rsid w:val="00D524BE"/>
    <w:rsid w:val="00D5261E"/>
    <w:rsid w:val="00D52B92"/>
    <w:rsid w:val="00D5429F"/>
    <w:rsid w:val="00D5483A"/>
    <w:rsid w:val="00D5563A"/>
    <w:rsid w:val="00D55DE2"/>
    <w:rsid w:val="00D561AD"/>
    <w:rsid w:val="00D564ED"/>
    <w:rsid w:val="00D5687F"/>
    <w:rsid w:val="00D56A53"/>
    <w:rsid w:val="00D576D9"/>
    <w:rsid w:val="00D57E76"/>
    <w:rsid w:val="00D6135D"/>
    <w:rsid w:val="00D617CB"/>
    <w:rsid w:val="00D6181A"/>
    <w:rsid w:val="00D61A19"/>
    <w:rsid w:val="00D61D9B"/>
    <w:rsid w:val="00D61EC1"/>
    <w:rsid w:val="00D645CB"/>
    <w:rsid w:val="00D64ADF"/>
    <w:rsid w:val="00D64B17"/>
    <w:rsid w:val="00D7041D"/>
    <w:rsid w:val="00D70A6F"/>
    <w:rsid w:val="00D74AB2"/>
    <w:rsid w:val="00D754F6"/>
    <w:rsid w:val="00D76685"/>
    <w:rsid w:val="00D80053"/>
    <w:rsid w:val="00D80262"/>
    <w:rsid w:val="00D80C09"/>
    <w:rsid w:val="00D81897"/>
    <w:rsid w:val="00D82011"/>
    <w:rsid w:val="00D82192"/>
    <w:rsid w:val="00D864DF"/>
    <w:rsid w:val="00D86597"/>
    <w:rsid w:val="00D92D22"/>
    <w:rsid w:val="00D95133"/>
    <w:rsid w:val="00D960B5"/>
    <w:rsid w:val="00D968C5"/>
    <w:rsid w:val="00DA0293"/>
    <w:rsid w:val="00DA10C7"/>
    <w:rsid w:val="00DA1798"/>
    <w:rsid w:val="00DA2E1D"/>
    <w:rsid w:val="00DA2F09"/>
    <w:rsid w:val="00DA39B6"/>
    <w:rsid w:val="00DA3F1F"/>
    <w:rsid w:val="00DA73E2"/>
    <w:rsid w:val="00DA7955"/>
    <w:rsid w:val="00DB0D9B"/>
    <w:rsid w:val="00DB2386"/>
    <w:rsid w:val="00DB383B"/>
    <w:rsid w:val="00DB680C"/>
    <w:rsid w:val="00DB76A0"/>
    <w:rsid w:val="00DC1E60"/>
    <w:rsid w:val="00DC3E62"/>
    <w:rsid w:val="00DC443F"/>
    <w:rsid w:val="00DC4A8D"/>
    <w:rsid w:val="00DC5814"/>
    <w:rsid w:val="00DC6FB5"/>
    <w:rsid w:val="00DD0027"/>
    <w:rsid w:val="00DD0307"/>
    <w:rsid w:val="00DD2568"/>
    <w:rsid w:val="00DD29CD"/>
    <w:rsid w:val="00DD3220"/>
    <w:rsid w:val="00DD3E14"/>
    <w:rsid w:val="00DD43F0"/>
    <w:rsid w:val="00DD5B37"/>
    <w:rsid w:val="00DD60CC"/>
    <w:rsid w:val="00DD7686"/>
    <w:rsid w:val="00DE00F2"/>
    <w:rsid w:val="00DE1193"/>
    <w:rsid w:val="00DE1807"/>
    <w:rsid w:val="00DE1BC8"/>
    <w:rsid w:val="00DE2743"/>
    <w:rsid w:val="00DE296E"/>
    <w:rsid w:val="00DE347D"/>
    <w:rsid w:val="00DE4F63"/>
    <w:rsid w:val="00DE68A2"/>
    <w:rsid w:val="00DE7CC9"/>
    <w:rsid w:val="00DF0392"/>
    <w:rsid w:val="00DF21C8"/>
    <w:rsid w:val="00DF29AC"/>
    <w:rsid w:val="00DF4D12"/>
    <w:rsid w:val="00DF4FE8"/>
    <w:rsid w:val="00DF516B"/>
    <w:rsid w:val="00DF5DBA"/>
    <w:rsid w:val="00DF6736"/>
    <w:rsid w:val="00DF6DBC"/>
    <w:rsid w:val="00DF7F25"/>
    <w:rsid w:val="00DF7FF6"/>
    <w:rsid w:val="00E013BC"/>
    <w:rsid w:val="00E0296A"/>
    <w:rsid w:val="00E0347F"/>
    <w:rsid w:val="00E0473E"/>
    <w:rsid w:val="00E04C7B"/>
    <w:rsid w:val="00E05590"/>
    <w:rsid w:val="00E055C6"/>
    <w:rsid w:val="00E07C7D"/>
    <w:rsid w:val="00E10AE2"/>
    <w:rsid w:val="00E10F0A"/>
    <w:rsid w:val="00E14C96"/>
    <w:rsid w:val="00E1662A"/>
    <w:rsid w:val="00E175CC"/>
    <w:rsid w:val="00E215E8"/>
    <w:rsid w:val="00E21875"/>
    <w:rsid w:val="00E23675"/>
    <w:rsid w:val="00E23AA5"/>
    <w:rsid w:val="00E23B97"/>
    <w:rsid w:val="00E24C4C"/>
    <w:rsid w:val="00E25407"/>
    <w:rsid w:val="00E26757"/>
    <w:rsid w:val="00E3030B"/>
    <w:rsid w:val="00E30E04"/>
    <w:rsid w:val="00E30FA0"/>
    <w:rsid w:val="00E32231"/>
    <w:rsid w:val="00E32599"/>
    <w:rsid w:val="00E33B0E"/>
    <w:rsid w:val="00E344F8"/>
    <w:rsid w:val="00E354B5"/>
    <w:rsid w:val="00E35C1B"/>
    <w:rsid w:val="00E35D3D"/>
    <w:rsid w:val="00E35E76"/>
    <w:rsid w:val="00E375EB"/>
    <w:rsid w:val="00E42621"/>
    <w:rsid w:val="00E44691"/>
    <w:rsid w:val="00E446A6"/>
    <w:rsid w:val="00E46CDC"/>
    <w:rsid w:val="00E472A3"/>
    <w:rsid w:val="00E47829"/>
    <w:rsid w:val="00E52204"/>
    <w:rsid w:val="00E52A7D"/>
    <w:rsid w:val="00E530E2"/>
    <w:rsid w:val="00E53CB5"/>
    <w:rsid w:val="00E53CCD"/>
    <w:rsid w:val="00E548E2"/>
    <w:rsid w:val="00E57617"/>
    <w:rsid w:val="00E577A4"/>
    <w:rsid w:val="00E6073A"/>
    <w:rsid w:val="00E60A53"/>
    <w:rsid w:val="00E618BD"/>
    <w:rsid w:val="00E62607"/>
    <w:rsid w:val="00E63192"/>
    <w:rsid w:val="00E63728"/>
    <w:rsid w:val="00E64A44"/>
    <w:rsid w:val="00E66142"/>
    <w:rsid w:val="00E67076"/>
    <w:rsid w:val="00E70B47"/>
    <w:rsid w:val="00E70C8D"/>
    <w:rsid w:val="00E71855"/>
    <w:rsid w:val="00E719A9"/>
    <w:rsid w:val="00E71D2B"/>
    <w:rsid w:val="00E725F7"/>
    <w:rsid w:val="00E7341D"/>
    <w:rsid w:val="00E73FA8"/>
    <w:rsid w:val="00E772AC"/>
    <w:rsid w:val="00E81497"/>
    <w:rsid w:val="00E81878"/>
    <w:rsid w:val="00E81DD9"/>
    <w:rsid w:val="00E830FD"/>
    <w:rsid w:val="00E84BB9"/>
    <w:rsid w:val="00E84D4F"/>
    <w:rsid w:val="00E8560A"/>
    <w:rsid w:val="00E870AD"/>
    <w:rsid w:val="00E875E5"/>
    <w:rsid w:val="00E91752"/>
    <w:rsid w:val="00E92DFD"/>
    <w:rsid w:val="00E93433"/>
    <w:rsid w:val="00E94BC5"/>
    <w:rsid w:val="00E95207"/>
    <w:rsid w:val="00E95848"/>
    <w:rsid w:val="00E9603C"/>
    <w:rsid w:val="00E96FDD"/>
    <w:rsid w:val="00EA13BC"/>
    <w:rsid w:val="00EA1D25"/>
    <w:rsid w:val="00EA1DE4"/>
    <w:rsid w:val="00EA29B2"/>
    <w:rsid w:val="00EA376C"/>
    <w:rsid w:val="00EA3D5D"/>
    <w:rsid w:val="00EA60EA"/>
    <w:rsid w:val="00EA669E"/>
    <w:rsid w:val="00EA74B2"/>
    <w:rsid w:val="00EB0CE0"/>
    <w:rsid w:val="00EB1C3A"/>
    <w:rsid w:val="00EB29BF"/>
    <w:rsid w:val="00EB341B"/>
    <w:rsid w:val="00EB452F"/>
    <w:rsid w:val="00EB51DC"/>
    <w:rsid w:val="00EB68C5"/>
    <w:rsid w:val="00EC0E93"/>
    <w:rsid w:val="00EC1084"/>
    <w:rsid w:val="00EC1D06"/>
    <w:rsid w:val="00EC2FC5"/>
    <w:rsid w:val="00EC4246"/>
    <w:rsid w:val="00EC4420"/>
    <w:rsid w:val="00EC44DC"/>
    <w:rsid w:val="00EC60A6"/>
    <w:rsid w:val="00EC7C7F"/>
    <w:rsid w:val="00ED1A5E"/>
    <w:rsid w:val="00ED6E55"/>
    <w:rsid w:val="00EE1B30"/>
    <w:rsid w:val="00EE3564"/>
    <w:rsid w:val="00EE4747"/>
    <w:rsid w:val="00EE4978"/>
    <w:rsid w:val="00EE4D24"/>
    <w:rsid w:val="00EE52AA"/>
    <w:rsid w:val="00EE5E1F"/>
    <w:rsid w:val="00EE5E7E"/>
    <w:rsid w:val="00EE67CE"/>
    <w:rsid w:val="00EE73B9"/>
    <w:rsid w:val="00EF01A8"/>
    <w:rsid w:val="00EF168F"/>
    <w:rsid w:val="00EF2C44"/>
    <w:rsid w:val="00EF3009"/>
    <w:rsid w:val="00EF4B42"/>
    <w:rsid w:val="00F003D3"/>
    <w:rsid w:val="00F007C5"/>
    <w:rsid w:val="00F008AB"/>
    <w:rsid w:val="00F009C1"/>
    <w:rsid w:val="00F02CEA"/>
    <w:rsid w:val="00F03C51"/>
    <w:rsid w:val="00F03E32"/>
    <w:rsid w:val="00F054B8"/>
    <w:rsid w:val="00F05865"/>
    <w:rsid w:val="00F05DC9"/>
    <w:rsid w:val="00F076AB"/>
    <w:rsid w:val="00F07A22"/>
    <w:rsid w:val="00F07C5C"/>
    <w:rsid w:val="00F1493C"/>
    <w:rsid w:val="00F15B05"/>
    <w:rsid w:val="00F1640A"/>
    <w:rsid w:val="00F17BB7"/>
    <w:rsid w:val="00F17E7B"/>
    <w:rsid w:val="00F20395"/>
    <w:rsid w:val="00F2064D"/>
    <w:rsid w:val="00F2074B"/>
    <w:rsid w:val="00F270E0"/>
    <w:rsid w:val="00F30018"/>
    <w:rsid w:val="00F32207"/>
    <w:rsid w:val="00F34F00"/>
    <w:rsid w:val="00F35853"/>
    <w:rsid w:val="00F379E0"/>
    <w:rsid w:val="00F403FA"/>
    <w:rsid w:val="00F41519"/>
    <w:rsid w:val="00F42289"/>
    <w:rsid w:val="00F4236D"/>
    <w:rsid w:val="00F42E75"/>
    <w:rsid w:val="00F43F16"/>
    <w:rsid w:val="00F44761"/>
    <w:rsid w:val="00F45D65"/>
    <w:rsid w:val="00F4668E"/>
    <w:rsid w:val="00F47B6D"/>
    <w:rsid w:val="00F517FA"/>
    <w:rsid w:val="00F5218D"/>
    <w:rsid w:val="00F523C8"/>
    <w:rsid w:val="00F52D16"/>
    <w:rsid w:val="00F53B79"/>
    <w:rsid w:val="00F57FA7"/>
    <w:rsid w:val="00F604B5"/>
    <w:rsid w:val="00F6196A"/>
    <w:rsid w:val="00F61C13"/>
    <w:rsid w:val="00F62D67"/>
    <w:rsid w:val="00F62E5E"/>
    <w:rsid w:val="00F62F0B"/>
    <w:rsid w:val="00F638B5"/>
    <w:rsid w:val="00F63BD9"/>
    <w:rsid w:val="00F6477F"/>
    <w:rsid w:val="00F64C09"/>
    <w:rsid w:val="00F65643"/>
    <w:rsid w:val="00F660A2"/>
    <w:rsid w:val="00F663EC"/>
    <w:rsid w:val="00F6694C"/>
    <w:rsid w:val="00F67BEB"/>
    <w:rsid w:val="00F67E5E"/>
    <w:rsid w:val="00F67E65"/>
    <w:rsid w:val="00F72F3D"/>
    <w:rsid w:val="00F7536C"/>
    <w:rsid w:val="00F76357"/>
    <w:rsid w:val="00F76870"/>
    <w:rsid w:val="00F76D4A"/>
    <w:rsid w:val="00F77E25"/>
    <w:rsid w:val="00F8074F"/>
    <w:rsid w:val="00F8145F"/>
    <w:rsid w:val="00F83771"/>
    <w:rsid w:val="00F84174"/>
    <w:rsid w:val="00F84AFA"/>
    <w:rsid w:val="00F867F7"/>
    <w:rsid w:val="00F86B97"/>
    <w:rsid w:val="00F87DA4"/>
    <w:rsid w:val="00F913C9"/>
    <w:rsid w:val="00F91821"/>
    <w:rsid w:val="00F91947"/>
    <w:rsid w:val="00F91B23"/>
    <w:rsid w:val="00F922D9"/>
    <w:rsid w:val="00F9241E"/>
    <w:rsid w:val="00F9283D"/>
    <w:rsid w:val="00F9438A"/>
    <w:rsid w:val="00F94D6A"/>
    <w:rsid w:val="00F95D33"/>
    <w:rsid w:val="00F96F18"/>
    <w:rsid w:val="00F97240"/>
    <w:rsid w:val="00FA0077"/>
    <w:rsid w:val="00FA14C6"/>
    <w:rsid w:val="00FA2A57"/>
    <w:rsid w:val="00FA2DE0"/>
    <w:rsid w:val="00FA3CB4"/>
    <w:rsid w:val="00FA3DB6"/>
    <w:rsid w:val="00FA508E"/>
    <w:rsid w:val="00FA5320"/>
    <w:rsid w:val="00FA589E"/>
    <w:rsid w:val="00FA7846"/>
    <w:rsid w:val="00FA7B38"/>
    <w:rsid w:val="00FB067B"/>
    <w:rsid w:val="00FB31A4"/>
    <w:rsid w:val="00FB3A80"/>
    <w:rsid w:val="00FB3AAF"/>
    <w:rsid w:val="00FB4221"/>
    <w:rsid w:val="00FB4D92"/>
    <w:rsid w:val="00FB5C67"/>
    <w:rsid w:val="00FB5FD9"/>
    <w:rsid w:val="00FB698C"/>
    <w:rsid w:val="00FC0662"/>
    <w:rsid w:val="00FC073C"/>
    <w:rsid w:val="00FC0890"/>
    <w:rsid w:val="00FC1077"/>
    <w:rsid w:val="00FC10C6"/>
    <w:rsid w:val="00FC1AC7"/>
    <w:rsid w:val="00FC26E5"/>
    <w:rsid w:val="00FC2BFA"/>
    <w:rsid w:val="00FC2E08"/>
    <w:rsid w:val="00FC2FC2"/>
    <w:rsid w:val="00FC4383"/>
    <w:rsid w:val="00FC4D57"/>
    <w:rsid w:val="00FC50D8"/>
    <w:rsid w:val="00FC5540"/>
    <w:rsid w:val="00FC7281"/>
    <w:rsid w:val="00FC73F5"/>
    <w:rsid w:val="00FC7F88"/>
    <w:rsid w:val="00FD08BA"/>
    <w:rsid w:val="00FD0F71"/>
    <w:rsid w:val="00FD15B5"/>
    <w:rsid w:val="00FD19F1"/>
    <w:rsid w:val="00FD334E"/>
    <w:rsid w:val="00FD370F"/>
    <w:rsid w:val="00FD489B"/>
    <w:rsid w:val="00FD7355"/>
    <w:rsid w:val="00FD7941"/>
    <w:rsid w:val="00FE0394"/>
    <w:rsid w:val="00FE0508"/>
    <w:rsid w:val="00FE0B90"/>
    <w:rsid w:val="00FE0E48"/>
    <w:rsid w:val="00FE0ED3"/>
    <w:rsid w:val="00FE2090"/>
    <w:rsid w:val="00FE2D8C"/>
    <w:rsid w:val="00FE4D0E"/>
    <w:rsid w:val="00FE4FE0"/>
    <w:rsid w:val="00FE5448"/>
    <w:rsid w:val="00FE6F78"/>
    <w:rsid w:val="00FF0959"/>
    <w:rsid w:val="00FF17F6"/>
    <w:rsid w:val="00FF36D3"/>
    <w:rsid w:val="00FF37CE"/>
    <w:rsid w:val="00FF3E0E"/>
    <w:rsid w:val="00FF4C41"/>
    <w:rsid w:val="00FF509A"/>
    <w:rsid w:val="00FF6E81"/>
    <w:rsid w:val="00FF7DE0"/>
    <w:rsid w:val="00FF7E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4974F"/>
  <w15:docId w15:val="{FBE382E4-A50F-4E35-93E0-A24725B2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3">
    <w:name w:val="heading 3"/>
    <w:basedOn w:val="a"/>
    <w:link w:val="30"/>
    <w:uiPriority w:val="9"/>
    <w:qFormat/>
    <w:rsid w:val="00231B09"/>
    <w:pPr>
      <w:spacing w:before="100" w:beforeAutospacing="1" w:after="100" w:afterAutospacing="1"/>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styleId="af4">
    <w:name w:val="endnote text"/>
    <w:basedOn w:val="a"/>
    <w:link w:val="af5"/>
    <w:uiPriority w:val="99"/>
    <w:semiHidden/>
    <w:unhideWhenUsed/>
    <w:rsid w:val="00092DD6"/>
    <w:rPr>
      <w:sz w:val="20"/>
      <w:szCs w:val="20"/>
    </w:rPr>
  </w:style>
  <w:style w:type="character" w:customStyle="1" w:styleId="af5">
    <w:name w:val="Текст кінцевої виноски Знак"/>
    <w:basedOn w:val="a0"/>
    <w:link w:val="af4"/>
    <w:uiPriority w:val="99"/>
    <w:semiHidden/>
    <w:rsid w:val="00092DD6"/>
    <w:rPr>
      <w:rFonts w:ascii="Times New Roman" w:hAnsi="Times New Roman" w:cs="Times New Roman"/>
      <w:sz w:val="20"/>
      <w:szCs w:val="20"/>
      <w:lang w:eastAsia="uk-UA"/>
    </w:rPr>
  </w:style>
  <w:style w:type="paragraph" w:styleId="a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 Знак2,Знак Зн"/>
    <w:basedOn w:val="a"/>
    <w:link w:val="af7"/>
    <w:uiPriority w:val="99"/>
    <w:unhideWhenUsed/>
    <w:qFormat/>
    <w:rsid w:val="003D782C"/>
    <w:pPr>
      <w:jc w:val="left"/>
    </w:pPr>
    <w:rPr>
      <w:rFonts w:asciiTheme="minorHAnsi" w:hAnsiTheme="minorHAnsi"/>
      <w:sz w:val="20"/>
      <w:szCs w:val="20"/>
      <w:lang w:eastAsia="en-US"/>
    </w:rPr>
  </w:style>
  <w:style w:type="character" w:customStyle="1" w:styleId="af7">
    <w:name w:val="Текст ви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2 Знак,Знак Зн Знак"/>
    <w:basedOn w:val="a0"/>
    <w:link w:val="af6"/>
    <w:uiPriority w:val="99"/>
    <w:qFormat/>
    <w:rsid w:val="003D782C"/>
    <w:rPr>
      <w:rFonts w:cs="Times New Roman"/>
      <w:sz w:val="20"/>
      <w:szCs w:val="20"/>
    </w:rPr>
  </w:style>
  <w:style w:type="character" w:styleId="af8">
    <w:name w:val="annotation reference"/>
    <w:basedOn w:val="a0"/>
    <w:uiPriority w:val="99"/>
    <w:unhideWhenUsed/>
    <w:rsid w:val="00CD5BCB"/>
    <w:rPr>
      <w:sz w:val="16"/>
      <w:szCs w:val="16"/>
    </w:rPr>
  </w:style>
  <w:style w:type="paragraph" w:styleId="af9">
    <w:name w:val="annotation text"/>
    <w:basedOn w:val="a"/>
    <w:link w:val="afa"/>
    <w:uiPriority w:val="99"/>
    <w:unhideWhenUsed/>
    <w:rsid w:val="00CD5BCB"/>
    <w:rPr>
      <w:sz w:val="20"/>
      <w:szCs w:val="20"/>
    </w:rPr>
  </w:style>
  <w:style w:type="character" w:customStyle="1" w:styleId="afa">
    <w:name w:val="Текст примітки Знак"/>
    <w:basedOn w:val="a0"/>
    <w:link w:val="af9"/>
    <w:uiPriority w:val="99"/>
    <w:rsid w:val="00CD5BCB"/>
    <w:rPr>
      <w:rFonts w:ascii="Times New Roman" w:hAnsi="Times New Roman" w:cs="Times New Roman"/>
      <w:sz w:val="20"/>
      <w:szCs w:val="20"/>
      <w:lang w:eastAsia="uk-UA"/>
    </w:rPr>
  </w:style>
  <w:style w:type="paragraph" w:styleId="afb">
    <w:name w:val="annotation subject"/>
    <w:basedOn w:val="af9"/>
    <w:next w:val="af9"/>
    <w:link w:val="afc"/>
    <w:uiPriority w:val="99"/>
    <w:semiHidden/>
    <w:unhideWhenUsed/>
    <w:rsid w:val="00CD5BCB"/>
    <w:rPr>
      <w:b/>
      <w:bCs/>
    </w:rPr>
  </w:style>
  <w:style w:type="character" w:customStyle="1" w:styleId="afc">
    <w:name w:val="Тема примітки Знак"/>
    <w:basedOn w:val="afa"/>
    <w:link w:val="afb"/>
    <w:uiPriority w:val="99"/>
    <w:semiHidden/>
    <w:rsid w:val="00CD5BCB"/>
    <w:rPr>
      <w:rFonts w:ascii="Times New Roman" w:hAnsi="Times New Roman" w:cs="Times New Roman"/>
      <w:b/>
      <w:bCs/>
      <w:sz w:val="20"/>
      <w:szCs w:val="20"/>
      <w:lang w:eastAsia="uk-UA"/>
    </w:rPr>
  </w:style>
  <w:style w:type="paragraph" w:styleId="afd">
    <w:name w:val="Revision"/>
    <w:hidden/>
    <w:uiPriority w:val="99"/>
    <w:semiHidden/>
    <w:rsid w:val="00BD3344"/>
    <w:pPr>
      <w:spacing w:after="0" w:line="240" w:lineRule="auto"/>
    </w:pPr>
    <w:rPr>
      <w:rFonts w:ascii="Times New Roman" w:hAnsi="Times New Roman" w:cs="Times New Roman"/>
      <w:sz w:val="28"/>
      <w:szCs w:val="28"/>
      <w:lang w:eastAsia="uk-UA"/>
    </w:rPr>
  </w:style>
  <w:style w:type="character" w:styleId="afe">
    <w:name w:val="Hyperlink"/>
    <w:basedOn w:val="a0"/>
    <w:uiPriority w:val="99"/>
    <w:unhideWhenUsed/>
    <w:rsid w:val="00B02C71"/>
    <w:rPr>
      <w:color w:val="0000FF"/>
      <w:u w:val="single"/>
    </w:rPr>
  </w:style>
  <w:style w:type="paragraph" w:customStyle="1" w:styleId="ParagraphNumbering">
    <w:name w:val="Paragraph Numbering"/>
    <w:basedOn w:val="a"/>
    <w:rsid w:val="00B02C71"/>
    <w:pPr>
      <w:spacing w:after="240"/>
      <w:jc w:val="left"/>
    </w:pPr>
    <w:rPr>
      <w:sz w:val="24"/>
      <w:szCs w:val="20"/>
      <w:lang w:val="en-US" w:eastAsia="en-US"/>
    </w:rPr>
  </w:style>
  <w:style w:type="character" w:customStyle="1" w:styleId="xrvts37">
    <w:name w:val="x_rvts37"/>
    <w:basedOn w:val="a0"/>
    <w:rsid w:val="003938E4"/>
  </w:style>
  <w:style w:type="paragraph" w:customStyle="1" w:styleId="rvps2">
    <w:name w:val="rvps2"/>
    <w:basedOn w:val="a"/>
    <w:rsid w:val="002D55F1"/>
    <w:pPr>
      <w:spacing w:before="100" w:beforeAutospacing="1" w:after="100" w:afterAutospacing="1"/>
      <w:jc w:val="left"/>
    </w:pPr>
    <w:rPr>
      <w:sz w:val="24"/>
      <w:szCs w:val="24"/>
    </w:rPr>
  </w:style>
  <w:style w:type="paragraph" w:styleId="aff">
    <w:name w:val="Normal (Web)"/>
    <w:basedOn w:val="a"/>
    <w:uiPriority w:val="99"/>
    <w:unhideWhenUsed/>
    <w:rsid w:val="000B5B31"/>
    <w:pPr>
      <w:spacing w:before="100" w:beforeAutospacing="1" w:after="100" w:afterAutospacing="1"/>
      <w:jc w:val="left"/>
    </w:pPr>
    <w:rPr>
      <w:sz w:val="24"/>
      <w:szCs w:val="24"/>
      <w:lang w:val="ru-RU" w:eastAsia="ru-RU"/>
    </w:rPr>
  </w:style>
  <w:style w:type="character" w:customStyle="1" w:styleId="FontStyle28">
    <w:name w:val="Font Style28"/>
    <w:rsid w:val="001B61FB"/>
    <w:rPr>
      <w:rFonts w:ascii="Times New Roman" w:hAnsi="Times New Roman" w:cs="Times New Roman" w:hint="default"/>
      <w:sz w:val="26"/>
      <w:szCs w:val="26"/>
    </w:rPr>
  </w:style>
  <w:style w:type="character" w:customStyle="1" w:styleId="defaultchar">
    <w:name w:val="default__char"/>
    <w:basedOn w:val="a0"/>
    <w:rsid w:val="00AA1A32"/>
  </w:style>
  <w:style w:type="character" w:styleId="aff0">
    <w:name w:val="page number"/>
    <w:basedOn w:val="a0"/>
    <w:uiPriority w:val="99"/>
    <w:rsid w:val="002978B8"/>
    <w:rPr>
      <w:rFonts w:cs="Times New Roman"/>
    </w:rPr>
  </w:style>
  <w:style w:type="character" w:customStyle="1" w:styleId="rvts37">
    <w:name w:val="rvts37"/>
    <w:basedOn w:val="a0"/>
    <w:rsid w:val="00322779"/>
  </w:style>
  <w:style w:type="character" w:styleId="aff1">
    <w:name w:val="footnote reference"/>
    <w:basedOn w:val="a0"/>
    <w:uiPriority w:val="99"/>
    <w:semiHidden/>
    <w:unhideWhenUsed/>
    <w:rsid w:val="000644BD"/>
    <w:rPr>
      <w:vertAlign w:val="superscript"/>
    </w:rPr>
  </w:style>
  <w:style w:type="character" w:customStyle="1" w:styleId="30">
    <w:name w:val="Заголовок 3 Знак"/>
    <w:basedOn w:val="a0"/>
    <w:link w:val="3"/>
    <w:uiPriority w:val="9"/>
    <w:rsid w:val="00231B09"/>
    <w:rPr>
      <w:rFonts w:ascii="Times New Roman" w:hAnsi="Times New Roman" w:cs="Times New Roman"/>
      <w:b/>
      <w:bCs/>
      <w:sz w:val="27"/>
      <w:szCs w:val="27"/>
      <w:lang w:eastAsia="uk-UA"/>
    </w:rPr>
  </w:style>
  <w:style w:type="paragraph" w:customStyle="1" w:styleId="xmsonormal">
    <w:name w:val="x_msonormal"/>
    <w:basedOn w:val="a"/>
    <w:rsid w:val="00C06A88"/>
    <w:pPr>
      <w:spacing w:before="100" w:beforeAutospacing="1" w:after="100" w:afterAutospacing="1"/>
      <w:jc w:val="left"/>
    </w:pPr>
    <w:rPr>
      <w:sz w:val="24"/>
      <w:szCs w:val="24"/>
    </w:rPr>
  </w:style>
  <w:style w:type="paragraph" w:customStyle="1" w:styleId="xmsolistparagraph">
    <w:name w:val="x_msolistparagraph"/>
    <w:basedOn w:val="a"/>
    <w:rsid w:val="009037A9"/>
    <w:pPr>
      <w:spacing w:before="100" w:beforeAutospacing="1" w:after="100" w:afterAutospacing="1"/>
      <w:jc w:val="left"/>
    </w:pPr>
    <w:rPr>
      <w:sz w:val="24"/>
      <w:szCs w:val="24"/>
    </w:rPr>
  </w:style>
  <w:style w:type="paragraph" w:customStyle="1" w:styleId="xmsocommenttext">
    <w:name w:val="x_msocommenttext"/>
    <w:basedOn w:val="a"/>
    <w:rsid w:val="00C150FC"/>
    <w:pPr>
      <w:spacing w:before="100" w:beforeAutospacing="1" w:after="100" w:afterAutospacing="1"/>
      <w:jc w:val="left"/>
    </w:pPr>
    <w:rPr>
      <w:sz w:val="24"/>
      <w:szCs w:val="24"/>
      <w:lang w:val="ru-RU" w:eastAsia="ru-RU"/>
    </w:rPr>
  </w:style>
  <w:style w:type="character" w:customStyle="1" w:styleId="xmsofootnotereference">
    <w:name w:val="x_msofootnotereference"/>
    <w:basedOn w:val="a0"/>
    <w:rsid w:val="00C150FC"/>
  </w:style>
  <w:style w:type="paragraph" w:customStyle="1" w:styleId="xmsofootnotetext">
    <w:name w:val="x_msofootnotetext"/>
    <w:basedOn w:val="a"/>
    <w:rsid w:val="00C150FC"/>
    <w:pPr>
      <w:spacing w:before="100" w:beforeAutospacing="1" w:after="100" w:afterAutospacing="1"/>
      <w:jc w:val="left"/>
    </w:pPr>
    <w:rPr>
      <w:sz w:val="24"/>
      <w:szCs w:val="24"/>
      <w:lang w:val="ru-RU" w:eastAsia="ru-RU"/>
    </w:rPr>
  </w:style>
  <w:style w:type="character" w:customStyle="1" w:styleId="rvts46">
    <w:name w:val="rvts46"/>
    <w:basedOn w:val="a0"/>
    <w:rsid w:val="00F44761"/>
  </w:style>
  <w:style w:type="character" w:customStyle="1" w:styleId="rvts11">
    <w:name w:val="rvts11"/>
    <w:basedOn w:val="a0"/>
    <w:rsid w:val="00F44761"/>
  </w:style>
  <w:style w:type="paragraph" w:customStyle="1" w:styleId="rvps7">
    <w:name w:val="rvps7"/>
    <w:basedOn w:val="a"/>
    <w:rsid w:val="00C07B5C"/>
    <w:pPr>
      <w:spacing w:before="100" w:beforeAutospacing="1" w:after="100" w:afterAutospacing="1"/>
      <w:jc w:val="left"/>
    </w:pPr>
    <w:rPr>
      <w:sz w:val="24"/>
      <w:szCs w:val="24"/>
      <w:lang w:val="ru-RU" w:eastAsia="ru-RU"/>
    </w:rPr>
  </w:style>
  <w:style w:type="character" w:customStyle="1" w:styleId="rvts15">
    <w:name w:val="rvts15"/>
    <w:basedOn w:val="a0"/>
    <w:rsid w:val="00C07B5C"/>
  </w:style>
  <w:style w:type="character" w:customStyle="1" w:styleId="rvts23">
    <w:name w:val="rvts23"/>
    <w:basedOn w:val="a0"/>
    <w:rsid w:val="00C07B5C"/>
  </w:style>
  <w:style w:type="table" w:customStyle="1" w:styleId="4">
    <w:name w:val="Сітка таблиці4"/>
    <w:basedOn w:val="a1"/>
    <w:uiPriority w:val="59"/>
    <w:rsid w:val="00787452"/>
    <w:pPr>
      <w:spacing w:after="0" w:line="240" w:lineRule="auto"/>
    </w:pPr>
    <w:rPr>
      <w:rFonts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6318">
      <w:bodyDiv w:val="1"/>
      <w:marLeft w:val="0"/>
      <w:marRight w:val="0"/>
      <w:marTop w:val="0"/>
      <w:marBottom w:val="0"/>
      <w:divBdr>
        <w:top w:val="none" w:sz="0" w:space="0" w:color="auto"/>
        <w:left w:val="none" w:sz="0" w:space="0" w:color="auto"/>
        <w:bottom w:val="none" w:sz="0" w:space="0" w:color="auto"/>
        <w:right w:val="none" w:sz="0" w:space="0" w:color="auto"/>
      </w:divBdr>
      <w:divsChild>
        <w:div w:id="179321363">
          <w:marLeft w:val="0"/>
          <w:marRight w:val="0"/>
          <w:marTop w:val="0"/>
          <w:marBottom w:val="0"/>
          <w:divBdr>
            <w:top w:val="none" w:sz="0" w:space="0" w:color="auto"/>
            <w:left w:val="none" w:sz="0" w:space="0" w:color="auto"/>
            <w:bottom w:val="none" w:sz="0" w:space="0" w:color="auto"/>
            <w:right w:val="none" w:sz="0" w:space="0" w:color="auto"/>
          </w:divBdr>
          <w:divsChild>
            <w:div w:id="20447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6644">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31063323">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974070039">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92955095">
      <w:bodyDiv w:val="1"/>
      <w:marLeft w:val="0"/>
      <w:marRight w:val="0"/>
      <w:marTop w:val="0"/>
      <w:marBottom w:val="0"/>
      <w:divBdr>
        <w:top w:val="none" w:sz="0" w:space="0" w:color="auto"/>
        <w:left w:val="none" w:sz="0" w:space="0" w:color="auto"/>
        <w:bottom w:val="none" w:sz="0" w:space="0" w:color="auto"/>
        <w:right w:val="none" w:sz="0" w:space="0" w:color="auto"/>
      </w:divBdr>
    </w:div>
    <w:div w:id="120652794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42823092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750225882">
      <w:bodyDiv w:val="1"/>
      <w:marLeft w:val="0"/>
      <w:marRight w:val="0"/>
      <w:marTop w:val="0"/>
      <w:marBottom w:val="0"/>
      <w:divBdr>
        <w:top w:val="none" w:sz="0" w:space="0" w:color="auto"/>
        <w:left w:val="none" w:sz="0" w:space="0" w:color="auto"/>
        <w:bottom w:val="none" w:sz="0" w:space="0" w:color="auto"/>
        <w:right w:val="none" w:sz="0" w:space="0" w:color="auto"/>
      </w:divBdr>
    </w:div>
    <w:div w:id="180010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zakon.rada.gov.ua/laws/show/2102-2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64/2022"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B418A3D-82BB-4534-95C6-BE91E4F2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39073</Words>
  <Characters>22272</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61223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Затхей Світлана Михайлівна</cp:lastModifiedBy>
  <cp:revision>3</cp:revision>
  <cp:lastPrinted>2023-04-20T11:03:00Z</cp:lastPrinted>
  <dcterms:created xsi:type="dcterms:W3CDTF">2023-04-26T06:35:00Z</dcterms:created>
  <dcterms:modified xsi:type="dcterms:W3CDTF">2023-04-26T06:40:00Z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