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6497" w14:textId="77777777" w:rsidR="00E83D81" w:rsidRPr="00CD0CD4" w:rsidRDefault="00E83D81" w:rsidP="00E83D81">
      <w:pPr>
        <w:rPr>
          <w:sz w:val="2"/>
          <w:szCs w:val="2"/>
        </w:rPr>
      </w:pPr>
    </w:p>
    <w:p w14:paraId="4CCDD1EA" w14:textId="77777777" w:rsidR="00E83D81" w:rsidRPr="00566BA2" w:rsidRDefault="00E83D81" w:rsidP="00E83D81">
      <w:pPr>
        <w:rPr>
          <w:sz w:val="2"/>
          <w:szCs w:val="2"/>
          <w:lang w:val="en-US"/>
        </w:r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3182"/>
        <w:gridCol w:w="3225"/>
        <w:gridCol w:w="3231"/>
      </w:tblGrid>
      <w:tr w:rsidR="00E83D81" w:rsidRPr="00A52132" w14:paraId="6234CDCB" w14:textId="77777777" w:rsidTr="00C5178B">
        <w:trPr>
          <w:trHeight w:val="138"/>
        </w:trPr>
        <w:tc>
          <w:tcPr>
            <w:tcW w:w="3182" w:type="dxa"/>
            <w:shd w:val="clear" w:color="auto" w:fill="auto"/>
          </w:tcPr>
          <w:p w14:paraId="0EFAEEC7" w14:textId="77777777" w:rsidR="00E83D81" w:rsidRPr="00722B76" w:rsidRDefault="00E83D81" w:rsidP="00C5178B"/>
        </w:tc>
        <w:tc>
          <w:tcPr>
            <w:tcW w:w="6456" w:type="dxa"/>
            <w:gridSpan w:val="2"/>
            <w:shd w:val="clear" w:color="auto" w:fill="auto"/>
          </w:tcPr>
          <w:p w14:paraId="4BA709EE" w14:textId="3FBA338B" w:rsidR="00E83D81" w:rsidRPr="00A52132" w:rsidRDefault="00E83D81" w:rsidP="00C5178B">
            <w:pPr>
              <w:pStyle w:val="ab"/>
              <w:jc w:val="right"/>
            </w:pPr>
            <w:r w:rsidRPr="00A52132">
              <w:t xml:space="preserve">Офіційно опубліковано </w:t>
            </w:r>
            <w:r w:rsidR="00A52132" w:rsidRPr="00A52132">
              <w:t>29</w:t>
            </w:r>
            <w:r w:rsidRPr="00A52132">
              <w:t>.08.2022</w:t>
            </w:r>
          </w:p>
        </w:tc>
      </w:tr>
      <w:tr w:rsidR="00E83D81" w:rsidRPr="00A52132" w14:paraId="203D1BB4" w14:textId="77777777" w:rsidTr="00C5178B">
        <w:trPr>
          <w:trHeight w:val="851"/>
        </w:trPr>
        <w:tc>
          <w:tcPr>
            <w:tcW w:w="3182" w:type="dxa"/>
            <w:shd w:val="clear" w:color="auto" w:fill="auto"/>
          </w:tcPr>
          <w:p w14:paraId="1EC7D8E3" w14:textId="77777777" w:rsidR="00E83D81" w:rsidRPr="00A52132" w:rsidRDefault="00E83D81" w:rsidP="00C5178B"/>
        </w:tc>
        <w:tc>
          <w:tcPr>
            <w:tcW w:w="3225" w:type="dxa"/>
            <w:vMerge w:val="restart"/>
            <w:shd w:val="clear" w:color="auto" w:fill="auto"/>
          </w:tcPr>
          <w:p w14:paraId="73D844C5" w14:textId="77777777" w:rsidR="00E83D81" w:rsidRPr="00A52132" w:rsidRDefault="00E83D81" w:rsidP="00C5178B">
            <w:pPr>
              <w:jc w:val="center"/>
            </w:pPr>
            <w:r w:rsidRPr="00A52132">
              <w:rPr>
                <w:noProof/>
              </w:rPr>
              <w:drawing>
                <wp:inline distT="0" distB="0" distL="0" distR="0" wp14:anchorId="79B3D2ED" wp14:editId="02AFB98D">
                  <wp:extent cx="426085" cy="622935"/>
                  <wp:effectExtent l="0" t="0" r="0" b="0"/>
                  <wp:docPr id="1" name="ole_rI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e_rI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shd w:val="clear" w:color="auto" w:fill="auto"/>
          </w:tcPr>
          <w:p w14:paraId="4AD31E45" w14:textId="77777777" w:rsidR="00E83D81" w:rsidRPr="00A52132" w:rsidRDefault="00E83D81" w:rsidP="00C5178B"/>
        </w:tc>
      </w:tr>
      <w:tr w:rsidR="00E83D81" w:rsidRPr="00A52132" w14:paraId="3FA131B8" w14:textId="77777777" w:rsidTr="00C5178B">
        <w:tc>
          <w:tcPr>
            <w:tcW w:w="3182" w:type="dxa"/>
            <w:shd w:val="clear" w:color="auto" w:fill="auto"/>
          </w:tcPr>
          <w:p w14:paraId="635C8BAD" w14:textId="77777777" w:rsidR="00E83D81" w:rsidRPr="00A52132" w:rsidRDefault="00E83D81" w:rsidP="00C5178B"/>
        </w:tc>
        <w:tc>
          <w:tcPr>
            <w:tcW w:w="3225" w:type="dxa"/>
            <w:vMerge/>
            <w:shd w:val="clear" w:color="auto" w:fill="auto"/>
          </w:tcPr>
          <w:p w14:paraId="70674A08" w14:textId="77777777" w:rsidR="00E83D81" w:rsidRPr="00A52132" w:rsidRDefault="00E83D81" w:rsidP="00C5178B"/>
        </w:tc>
        <w:tc>
          <w:tcPr>
            <w:tcW w:w="3231" w:type="dxa"/>
            <w:shd w:val="clear" w:color="auto" w:fill="auto"/>
          </w:tcPr>
          <w:p w14:paraId="458FFB1C" w14:textId="77777777" w:rsidR="00E83D81" w:rsidRPr="00A52132" w:rsidRDefault="00E83D81" w:rsidP="00C5178B"/>
        </w:tc>
      </w:tr>
      <w:tr w:rsidR="00E83D81" w:rsidRPr="00A52132" w14:paraId="38EFE184" w14:textId="77777777" w:rsidTr="00C5178B">
        <w:tc>
          <w:tcPr>
            <w:tcW w:w="9638" w:type="dxa"/>
            <w:gridSpan w:val="3"/>
            <w:shd w:val="clear" w:color="auto" w:fill="auto"/>
          </w:tcPr>
          <w:p w14:paraId="25FD43CD" w14:textId="77777777" w:rsidR="00E83D81" w:rsidRPr="00A52132" w:rsidRDefault="00E83D81" w:rsidP="00C5178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A52132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01ECECB" w14:textId="77777777" w:rsidR="00E83D81" w:rsidRPr="00A52132" w:rsidRDefault="00E83D81" w:rsidP="00C5178B">
            <w:pPr>
              <w:jc w:val="center"/>
              <w:rPr>
                <w:b/>
                <w:bCs/>
                <w:color w:val="006600"/>
                <w:sz w:val="32"/>
                <w:szCs w:val="32"/>
              </w:rPr>
            </w:pPr>
            <w:r w:rsidRPr="00A52132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4"/>
        <w:gridCol w:w="1675"/>
        <w:gridCol w:w="1896"/>
      </w:tblGrid>
      <w:tr w:rsidR="00E83D81" w14:paraId="09862130" w14:textId="77777777" w:rsidTr="00C5178B">
        <w:tc>
          <w:tcPr>
            <w:tcW w:w="3510" w:type="dxa"/>
            <w:vAlign w:val="bottom"/>
          </w:tcPr>
          <w:p w14:paraId="65AB5F64" w14:textId="3ACE7C9B" w:rsidR="00E83D81" w:rsidRPr="00A52132" w:rsidRDefault="00A52132" w:rsidP="00C5178B">
            <w:r w:rsidRPr="00A52132">
              <w:t>26</w:t>
            </w:r>
            <w:r w:rsidR="00E83D81" w:rsidRPr="00A52132">
              <w:t xml:space="preserve"> серпня 2022 року</w:t>
            </w:r>
          </w:p>
        </w:tc>
        <w:tc>
          <w:tcPr>
            <w:tcW w:w="2694" w:type="dxa"/>
          </w:tcPr>
          <w:p w14:paraId="7A7770C4" w14:textId="77777777" w:rsidR="00E83D81" w:rsidRPr="00A52132" w:rsidRDefault="00E83D81" w:rsidP="00C5178B">
            <w:pPr>
              <w:spacing w:before="240"/>
              <w:jc w:val="center"/>
            </w:pPr>
            <w:r w:rsidRPr="00A52132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32E0F8E" w14:textId="77777777" w:rsidR="00E83D81" w:rsidRPr="00A52132" w:rsidRDefault="00E83D81" w:rsidP="00C5178B">
            <w:pPr>
              <w:jc w:val="right"/>
            </w:pPr>
            <w:r w:rsidRPr="00A52132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29179A45" w14:textId="2AB6BEAC" w:rsidR="00E83D81" w:rsidRDefault="00E83D81" w:rsidP="00C5178B">
            <w:pPr>
              <w:jc w:val="left"/>
            </w:pPr>
            <w:r w:rsidRPr="00A52132">
              <w:t xml:space="preserve">             № </w:t>
            </w:r>
            <w:r w:rsidR="00A52132" w:rsidRPr="00A52132">
              <w:t>192</w:t>
            </w:r>
          </w:p>
        </w:tc>
      </w:tr>
    </w:tbl>
    <w:p w14:paraId="2F2C5445" w14:textId="77777777" w:rsidR="00657593" w:rsidRPr="00CD0CD4" w:rsidRDefault="00657593" w:rsidP="00657593">
      <w:pPr>
        <w:rPr>
          <w:sz w:val="2"/>
          <w:szCs w:val="2"/>
        </w:rPr>
      </w:pPr>
    </w:p>
    <w:p w14:paraId="52A9A672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65A50A21" w14:textId="77777777" w:rsidTr="005212C5">
        <w:trPr>
          <w:jc w:val="center"/>
        </w:trPr>
        <w:tc>
          <w:tcPr>
            <w:tcW w:w="5000" w:type="pct"/>
          </w:tcPr>
          <w:p w14:paraId="516332EA" w14:textId="77777777" w:rsidR="002B3F71" w:rsidRPr="00CD0CD4" w:rsidRDefault="00931514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931514">
              <w:rPr>
                <w:color w:val="000000"/>
                <w:szCs w:val="22"/>
              </w:rPr>
              <w:t xml:space="preserve">Про внесення змін до постанови Правління Національного банку України </w:t>
            </w:r>
            <w:r w:rsidR="00A4406C">
              <w:rPr>
                <w:color w:val="000000"/>
                <w:szCs w:val="22"/>
              </w:rPr>
              <w:t xml:space="preserve">                                     </w:t>
            </w:r>
            <w:r w:rsidRPr="00931514">
              <w:rPr>
                <w:color w:val="000000"/>
                <w:szCs w:val="22"/>
              </w:rPr>
              <w:t>від 29 липня 2022 рок</w:t>
            </w:r>
            <w:bookmarkStart w:id="0" w:name="_GoBack"/>
            <w:bookmarkEnd w:id="0"/>
            <w:r w:rsidRPr="00931514">
              <w:rPr>
                <w:color w:val="000000"/>
                <w:szCs w:val="22"/>
              </w:rPr>
              <w:t>у № 165</w:t>
            </w:r>
          </w:p>
        </w:tc>
      </w:tr>
    </w:tbl>
    <w:p w14:paraId="07828D00" w14:textId="77777777" w:rsidR="00E53CCD" w:rsidRDefault="00931514" w:rsidP="00314F8F">
      <w:pPr>
        <w:spacing w:before="240" w:after="240"/>
        <w:ind w:firstLine="567"/>
        <w:rPr>
          <w:b/>
        </w:rPr>
      </w:pPr>
      <w:r>
        <w:t>Відповідно до статей 7, 15, 44, 55</w:t>
      </w:r>
      <w:r>
        <w:rPr>
          <w:vertAlign w:val="superscript"/>
        </w:rPr>
        <w:t>1</w:t>
      </w:r>
      <w:r>
        <w:t>, 56 Закону України “Про Національний банк України”, статей 19, 21, 28 Закону України “Про фінансові послуги та державне регулювання ринків фінансових послуг”, статті 11 Закону України “Про валюту і валютні операції”, Указу Президента України від 24 лютого 2022 року № 64/2022 “Про введення воєнного стану в Україні”, затвердженого Законом України від 24 лютого 2022 року № 2102-ІХ «Про затвердження Указу Президента України “Про введення воєнного стану в Україні”», з метою запобігання кризовим явищам у період дії воєнного стану в Україні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3667F9E4" w14:textId="77777777" w:rsidR="00AD7DF9" w:rsidRDefault="00AD7DF9" w:rsidP="00314F8F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B30F1">
        <w:t>1.</w:t>
      </w:r>
      <w:r>
        <w:rPr>
          <w:lang w:val="en-US"/>
        </w:rPr>
        <w:t> </w:t>
      </w:r>
      <w:r w:rsidR="00931514">
        <w:t>Унести до постанови Правління Національного банку України від 29 липня 2022 року № 165 “Про особливості регулювання та нагляду за здійсненням діяльності з торгівлі валютними цінностями в готівковій формі в період дії воєнного стану та внесення змін до постанови Правління Національного банку України від 06 березня 2022 року № 39”</w:t>
      </w:r>
      <w:r w:rsidR="007A1B41">
        <w:t xml:space="preserve"> (зі змінами)</w:t>
      </w:r>
      <w:r w:rsidR="00931514">
        <w:t xml:space="preserve"> такі зміни:</w:t>
      </w:r>
    </w:p>
    <w:p w14:paraId="4DEA5ED8" w14:textId="1E3779AA" w:rsidR="008206B8" w:rsidRPr="003644DA" w:rsidRDefault="008206B8" w:rsidP="009404D6">
      <w:pPr>
        <w:numPr>
          <w:ilvl w:val="0"/>
          <w:numId w:val="3"/>
        </w:numPr>
        <w:ind w:firstLine="567"/>
      </w:pPr>
      <w:r w:rsidRPr="003644DA">
        <w:t xml:space="preserve">пункт 5 викласти </w:t>
      </w:r>
      <w:r w:rsidR="00341C5D">
        <w:t>в</w:t>
      </w:r>
      <w:r w:rsidR="00341C5D" w:rsidRPr="003644DA">
        <w:t xml:space="preserve"> </w:t>
      </w:r>
      <w:r w:rsidRPr="003644DA">
        <w:t>такій редакції:</w:t>
      </w:r>
    </w:p>
    <w:p w14:paraId="33455518" w14:textId="2EFD2C15" w:rsidR="008206B8" w:rsidRDefault="008206B8" w:rsidP="009404D6">
      <w:pPr>
        <w:pStyle w:val="af5"/>
        <w:ind w:firstLine="567"/>
        <w:jc w:val="both"/>
      </w:pPr>
      <w:r w:rsidRPr="003644DA">
        <w:t>“5. Установа зобов’язана забезпечити обладнання приміщення структурних підрозділів, у якому здійснюються операції з торгівлі валютними цінностями в готівковій формі, системою технологічного відеоконтролю</w:t>
      </w:r>
      <w:r w:rsidR="003D00D7">
        <w:t xml:space="preserve"> за процесом обслуговування клієнтів</w:t>
      </w:r>
      <w:r w:rsidR="00314F8F">
        <w:t xml:space="preserve"> (далі – </w:t>
      </w:r>
      <w:r w:rsidR="007B30F1">
        <w:t>система</w:t>
      </w:r>
      <w:r w:rsidR="007B30F1" w:rsidRPr="007B30F1">
        <w:t xml:space="preserve"> технологічного відеоконтролю</w:t>
      </w:r>
      <w:r w:rsidR="007B30F1">
        <w:t>)</w:t>
      </w:r>
      <w:r w:rsidRPr="003644DA">
        <w:t>, що відповідає таким вимогам:</w:t>
      </w:r>
      <w:r w:rsidR="003D00D7">
        <w:t xml:space="preserve"> </w:t>
      </w:r>
    </w:p>
    <w:p w14:paraId="5327D2F9" w14:textId="77777777" w:rsidR="00A677A8" w:rsidRPr="003644DA" w:rsidRDefault="00A677A8" w:rsidP="009404D6">
      <w:pPr>
        <w:pStyle w:val="af5"/>
        <w:ind w:firstLine="709"/>
        <w:jc w:val="both"/>
      </w:pPr>
    </w:p>
    <w:p w14:paraId="05DE3E48" w14:textId="7128FB81" w:rsidR="008206B8" w:rsidRPr="003644DA" w:rsidRDefault="008206B8" w:rsidP="007B30F1">
      <w:pPr>
        <w:pStyle w:val="af3"/>
        <w:numPr>
          <w:ilvl w:val="1"/>
          <w:numId w:val="4"/>
        </w:numPr>
        <w:spacing w:after="240"/>
        <w:ind w:left="0" w:firstLine="567"/>
        <w:contextualSpacing w:val="0"/>
      </w:pPr>
      <w:r w:rsidRPr="003644DA">
        <w:t>забезпечено обов’язкову реєстрацію та архівацію відеосигналу із зони робочого місця працівника структурного підрозділу установи, який здійснює операції із торгівлі валютними цінностями в готівковій формі (далі – працівник структурного підрозділу установи), зони клієнтів біля робочого місця працівника структурного підрозділу установи та входу/виходу клієнтів до/з приміщень установи/структурного підрозділу строком не менше ніж 14 діб.</w:t>
      </w:r>
      <w:r w:rsidR="00CE7626">
        <w:t xml:space="preserve"> Роздільна </w:t>
      </w:r>
      <w:r w:rsidR="00CE7626">
        <w:lastRenderedPageBreak/>
        <w:t>здатність камери для</w:t>
      </w:r>
      <w:r w:rsidRPr="003644DA">
        <w:t xml:space="preserve"> відеонагляду та</w:t>
      </w:r>
      <w:r w:rsidR="007B30F1" w:rsidRPr="00ED001D">
        <w:t xml:space="preserve"> зон</w:t>
      </w:r>
      <w:r w:rsidR="007B30F1">
        <w:t>а</w:t>
      </w:r>
      <w:r w:rsidR="007B30F1" w:rsidRPr="00ED001D">
        <w:t xml:space="preserve"> робочого місця працівника структурного підрозділу установи</w:t>
      </w:r>
      <w:r w:rsidRPr="003644DA">
        <w:t xml:space="preserve">  повинні забезпечувати чітку </w:t>
      </w:r>
      <w:r w:rsidR="00BD1EE2">
        <w:t>відеофіксацію</w:t>
      </w:r>
      <w:r w:rsidRPr="003644DA">
        <w:t xml:space="preserve"> процесу обслуговування клієнта, </w:t>
      </w:r>
      <w:r>
        <w:t>в</w:t>
      </w:r>
      <w:r w:rsidRPr="003644DA">
        <w:t xml:space="preserve">ключаючи процес приймання-передавання готівки та видачі квитанції реєстратора розрахункових операцій (далі – РРО) під час здійснення ним операції з купівлі/продажу іноземної валюти;  </w:t>
      </w:r>
    </w:p>
    <w:p w14:paraId="3A080B5A" w14:textId="77777777" w:rsidR="008206B8" w:rsidRPr="003644DA" w:rsidRDefault="008206B8" w:rsidP="008206B8">
      <w:pPr>
        <w:pStyle w:val="af3"/>
        <w:numPr>
          <w:ilvl w:val="1"/>
          <w:numId w:val="4"/>
        </w:numPr>
        <w:ind w:left="0" w:firstLine="709"/>
        <w:contextualSpacing w:val="0"/>
      </w:pPr>
      <w:r w:rsidRPr="003644DA">
        <w:t>система технологічного відеоконтролю забезпечує:</w:t>
      </w:r>
    </w:p>
    <w:p w14:paraId="61A84233" w14:textId="77777777" w:rsidR="008206B8" w:rsidRPr="003644DA" w:rsidRDefault="008206B8" w:rsidP="008206B8">
      <w:pPr>
        <w:pStyle w:val="af3"/>
        <w:ind w:left="0" w:firstLine="709"/>
        <w:contextualSpacing w:val="0"/>
      </w:pPr>
      <w:r w:rsidRPr="003644DA">
        <w:t>наявність у відеоматеріалах інформації про дату, час та найменування установи/структурного підрозділу, де встановлено відеореєстратор;</w:t>
      </w:r>
    </w:p>
    <w:p w14:paraId="0F009BD0" w14:textId="7EF48E4E" w:rsidR="008206B8" w:rsidRPr="003644DA" w:rsidRDefault="008206B8" w:rsidP="008206B8">
      <w:pPr>
        <w:pStyle w:val="af3"/>
        <w:ind w:left="0" w:firstLine="709"/>
        <w:contextualSpacing w:val="0"/>
      </w:pPr>
      <w:r w:rsidRPr="003644DA">
        <w:t xml:space="preserve">відповідність технічним вимогам до якості фіксації відеосигналу, що відображають </w:t>
      </w:r>
      <w:r>
        <w:t>процес обслуговування клієнта, в</w:t>
      </w:r>
      <w:r w:rsidRPr="003644DA">
        <w:t xml:space="preserve">ключаючи процес приймання-передавання готівки та видачі квитанції </w:t>
      </w:r>
      <w:r w:rsidR="00F5084C">
        <w:t>РРО</w:t>
      </w:r>
      <w:r w:rsidRPr="003644DA">
        <w:t xml:space="preserve"> під час здійснення ним операції з купівлі/продажу іноземної валюти;</w:t>
      </w:r>
    </w:p>
    <w:p w14:paraId="256622A7" w14:textId="77777777" w:rsidR="008206B8" w:rsidRPr="003644DA" w:rsidRDefault="008206B8" w:rsidP="009404D6">
      <w:pPr>
        <w:pStyle w:val="af3"/>
        <w:ind w:left="0" w:firstLine="709"/>
        <w:contextualSpacing w:val="0"/>
      </w:pPr>
      <w:r w:rsidRPr="003644DA">
        <w:t>технічну можливість надання на вимогу уповноважених працівників Національного банку України (далі – Національний банк) (інспекційної групи) під час проведення виїзної перевірки установи/структурного підрозділу доступу до перегляду даних відеоархіву та надання копії фрагмента даних відеоархіву за конкретний проміжок часу.</w:t>
      </w:r>
    </w:p>
    <w:p w14:paraId="7983FA92" w14:textId="17E12555" w:rsidR="00481963" w:rsidRDefault="008206B8" w:rsidP="009404D6">
      <w:pPr>
        <w:pStyle w:val="af3"/>
        <w:ind w:left="0" w:firstLine="709"/>
        <w:contextualSpacing w:val="0"/>
      </w:pPr>
      <w:r w:rsidRPr="003644DA">
        <w:t xml:space="preserve">Установа зобов’язана </w:t>
      </w:r>
      <w:r>
        <w:t>припинити</w:t>
      </w:r>
      <w:r w:rsidRPr="003644DA">
        <w:t xml:space="preserve"> операції з торгівлі валютними цінностями в готівковій формі </w:t>
      </w:r>
      <w:r w:rsidR="00341C5D">
        <w:t>в</w:t>
      </w:r>
      <w:r w:rsidR="00341C5D" w:rsidRPr="003644DA">
        <w:t xml:space="preserve"> </w:t>
      </w:r>
      <w:r w:rsidRPr="003644DA">
        <w:t>разі виходу з ладу системи технологічного відеоконтролю</w:t>
      </w:r>
      <w:r>
        <w:t xml:space="preserve"> до відновлення її </w:t>
      </w:r>
      <w:r w:rsidR="00A677A8">
        <w:t>роботи</w:t>
      </w:r>
      <w:r w:rsidRPr="003644DA">
        <w:t>.”;</w:t>
      </w:r>
      <w:r>
        <w:t xml:space="preserve"> </w:t>
      </w:r>
    </w:p>
    <w:p w14:paraId="08179A8C" w14:textId="77777777" w:rsidR="00341C5D" w:rsidRDefault="00341C5D" w:rsidP="009404D6">
      <w:pPr>
        <w:pStyle w:val="af3"/>
        <w:ind w:left="0" w:firstLine="709"/>
        <w:contextualSpacing w:val="0"/>
      </w:pPr>
    </w:p>
    <w:p w14:paraId="5A4C1AF6" w14:textId="6C8FE588" w:rsidR="008206B8" w:rsidRDefault="00481963" w:rsidP="009404D6">
      <w:pPr>
        <w:pStyle w:val="af3"/>
        <w:ind w:left="0" w:firstLine="709"/>
        <w:contextualSpacing w:val="0"/>
      </w:pPr>
      <w:r>
        <w:t>2) у пункті 37 слова “за процесом обслуговування клієнтів” виключити;</w:t>
      </w:r>
      <w:r w:rsidR="008206B8">
        <w:t xml:space="preserve"> </w:t>
      </w:r>
    </w:p>
    <w:p w14:paraId="40F41735" w14:textId="77777777" w:rsidR="00341C5D" w:rsidRDefault="00341C5D" w:rsidP="009404D6">
      <w:pPr>
        <w:pStyle w:val="af3"/>
        <w:ind w:left="0" w:firstLine="709"/>
        <w:contextualSpacing w:val="0"/>
      </w:pPr>
    </w:p>
    <w:p w14:paraId="34B33558" w14:textId="23793E69" w:rsidR="008206B8" w:rsidRPr="003644DA" w:rsidRDefault="00481963" w:rsidP="009404D6">
      <w:pPr>
        <w:pStyle w:val="af3"/>
        <w:ind w:left="0" w:firstLine="709"/>
        <w:contextualSpacing w:val="0"/>
      </w:pPr>
      <w:r>
        <w:t>3</w:t>
      </w:r>
      <w:r w:rsidR="008206B8">
        <w:t>) пункт 38 виключити.</w:t>
      </w:r>
    </w:p>
    <w:p w14:paraId="5A1252F9" w14:textId="77777777" w:rsidR="00AD7DF9" w:rsidRDefault="008206B8" w:rsidP="008206B8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931514">
        <w:t>Постанова набирає чинності з дня, наступного за днем її офіційного опублікування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14:paraId="0C060AC7" w14:textId="77777777" w:rsidR="008206B8" w:rsidRDefault="008206B8" w:rsidP="008206B8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14:paraId="01385DEB" w14:textId="77777777" w:rsidTr="00736C98">
        <w:tc>
          <w:tcPr>
            <w:tcW w:w="5387" w:type="dxa"/>
            <w:vAlign w:val="bottom"/>
          </w:tcPr>
          <w:p w14:paraId="5ED8327B" w14:textId="77777777" w:rsidR="00DD60CC" w:rsidRPr="00CD0CD4" w:rsidRDefault="00931514" w:rsidP="00931514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27158FBF" w14:textId="77777777" w:rsidR="00DD60CC" w:rsidRPr="00CD0CD4" w:rsidRDefault="00931514" w:rsidP="0093151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6A77B771" w14:textId="77777777" w:rsidR="008D10FD" w:rsidRPr="00CD0CD4" w:rsidRDefault="008D10FD" w:rsidP="00E53CCD"/>
    <w:p w14:paraId="0DC5574D" w14:textId="77777777" w:rsidR="00FA508E" w:rsidRPr="00CD0CD4" w:rsidRDefault="00FA508E" w:rsidP="00E53CCD"/>
    <w:p w14:paraId="66B2DD77" w14:textId="77777777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931514">
        <w:t xml:space="preserve">33 </w:t>
      </w:r>
    </w:p>
    <w:sectPr w:rsidR="00FA508E" w:rsidRPr="00CD0CD4" w:rsidSect="009404D6">
      <w:headerReference w:type="default" r:id="rId13"/>
      <w:footerReference w:type="first" r:id="rId14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FD2B8" w14:textId="77777777" w:rsidR="00FA46DA" w:rsidRDefault="00FA46DA" w:rsidP="00E53CCD">
      <w:r>
        <w:separator/>
      </w:r>
    </w:p>
  </w:endnote>
  <w:endnote w:type="continuationSeparator" w:id="0">
    <w:p w14:paraId="45B0F882" w14:textId="77777777" w:rsidR="00FA46DA" w:rsidRDefault="00FA46D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A2B9" w14:textId="77777777"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D4AAF" w14:textId="77777777" w:rsidR="00FA46DA" w:rsidRDefault="00FA46DA" w:rsidP="00E53CCD">
      <w:r>
        <w:separator/>
      </w:r>
    </w:p>
  </w:footnote>
  <w:footnote w:type="continuationSeparator" w:id="0">
    <w:p w14:paraId="476A952F" w14:textId="77777777" w:rsidR="00FA46DA" w:rsidRDefault="00FA46D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BA5E531" w14:textId="196B32D0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52132">
          <w:rPr>
            <w:noProof/>
          </w:rPr>
          <w:t>2</w:t>
        </w:r>
        <w:r>
          <w:fldChar w:fldCharType="end"/>
        </w:r>
      </w:p>
    </w:sdtContent>
  </w:sdt>
  <w:p w14:paraId="66566F9A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E715F3"/>
    <w:multiLevelType w:val="hybridMultilevel"/>
    <w:tmpl w:val="9B32505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4928F50E">
      <w:start w:val="1"/>
      <w:numFmt w:val="decimal"/>
      <w:suff w:val="space"/>
      <w:lvlText w:val="%2)"/>
      <w:lvlJc w:val="left"/>
      <w:pPr>
        <w:ind w:left="121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C6D61"/>
    <w:multiLevelType w:val="hybridMultilevel"/>
    <w:tmpl w:val="0D76C666"/>
    <w:lvl w:ilvl="0" w:tplc="7BC492F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4452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A518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CEF5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A5CC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EA8F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F8CFC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EE32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C73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4"/>
    <w:rsid w:val="000064FA"/>
    <w:rsid w:val="000069AF"/>
    <w:rsid w:val="00015CF3"/>
    <w:rsid w:val="00015FDE"/>
    <w:rsid w:val="00025F9F"/>
    <w:rsid w:val="0003331E"/>
    <w:rsid w:val="000342A5"/>
    <w:rsid w:val="0003793C"/>
    <w:rsid w:val="00044681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1D5A"/>
    <w:rsid w:val="00106229"/>
    <w:rsid w:val="00115ECF"/>
    <w:rsid w:val="001602DF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1D4A16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868CA"/>
    <w:rsid w:val="00290169"/>
    <w:rsid w:val="002A200C"/>
    <w:rsid w:val="002A2391"/>
    <w:rsid w:val="002B351E"/>
    <w:rsid w:val="002B3F71"/>
    <w:rsid w:val="002B582B"/>
    <w:rsid w:val="002C1FDB"/>
    <w:rsid w:val="002C4089"/>
    <w:rsid w:val="002D1790"/>
    <w:rsid w:val="002F48EF"/>
    <w:rsid w:val="00314F8F"/>
    <w:rsid w:val="00332701"/>
    <w:rsid w:val="00337368"/>
    <w:rsid w:val="00340D07"/>
    <w:rsid w:val="00341C5D"/>
    <w:rsid w:val="00345982"/>
    <w:rsid w:val="00356E34"/>
    <w:rsid w:val="00357676"/>
    <w:rsid w:val="0038385E"/>
    <w:rsid w:val="00384F65"/>
    <w:rsid w:val="0038606F"/>
    <w:rsid w:val="0039725C"/>
    <w:rsid w:val="003A16E7"/>
    <w:rsid w:val="003A751F"/>
    <w:rsid w:val="003C3282"/>
    <w:rsid w:val="003C3985"/>
    <w:rsid w:val="003D00D7"/>
    <w:rsid w:val="003D3CA1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81963"/>
    <w:rsid w:val="004A1CFC"/>
    <w:rsid w:val="004A7F75"/>
    <w:rsid w:val="004B1FE9"/>
    <w:rsid w:val="004B5574"/>
    <w:rsid w:val="004D1500"/>
    <w:rsid w:val="004D2B57"/>
    <w:rsid w:val="004E22E2"/>
    <w:rsid w:val="0050563F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E7D7E"/>
    <w:rsid w:val="005F4CB4"/>
    <w:rsid w:val="006310F3"/>
    <w:rsid w:val="00640612"/>
    <w:rsid w:val="0064227D"/>
    <w:rsid w:val="0065179F"/>
    <w:rsid w:val="00657593"/>
    <w:rsid w:val="00670C95"/>
    <w:rsid w:val="00686049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36C98"/>
    <w:rsid w:val="00747222"/>
    <w:rsid w:val="00750898"/>
    <w:rsid w:val="00773559"/>
    <w:rsid w:val="0078127A"/>
    <w:rsid w:val="00783AF2"/>
    <w:rsid w:val="00787E46"/>
    <w:rsid w:val="007A1B41"/>
    <w:rsid w:val="007A6609"/>
    <w:rsid w:val="007B30F1"/>
    <w:rsid w:val="007B7B73"/>
    <w:rsid w:val="007C2CED"/>
    <w:rsid w:val="00802988"/>
    <w:rsid w:val="008206B8"/>
    <w:rsid w:val="008415A0"/>
    <w:rsid w:val="0085364B"/>
    <w:rsid w:val="00866993"/>
    <w:rsid w:val="00874366"/>
    <w:rsid w:val="008762D8"/>
    <w:rsid w:val="0088719C"/>
    <w:rsid w:val="00897035"/>
    <w:rsid w:val="008B1589"/>
    <w:rsid w:val="008B74DD"/>
    <w:rsid w:val="008C72B5"/>
    <w:rsid w:val="008D10FD"/>
    <w:rsid w:val="008D122F"/>
    <w:rsid w:val="008D5F60"/>
    <w:rsid w:val="008D727F"/>
    <w:rsid w:val="008F0210"/>
    <w:rsid w:val="008F2600"/>
    <w:rsid w:val="008F529A"/>
    <w:rsid w:val="008F5D52"/>
    <w:rsid w:val="00904F17"/>
    <w:rsid w:val="00922966"/>
    <w:rsid w:val="0092710A"/>
    <w:rsid w:val="00931514"/>
    <w:rsid w:val="00937AE3"/>
    <w:rsid w:val="00937D24"/>
    <w:rsid w:val="009404D6"/>
    <w:rsid w:val="00941A83"/>
    <w:rsid w:val="00943175"/>
    <w:rsid w:val="0095741D"/>
    <w:rsid w:val="0097288F"/>
    <w:rsid w:val="00977587"/>
    <w:rsid w:val="0098207E"/>
    <w:rsid w:val="00990AAE"/>
    <w:rsid w:val="009B6120"/>
    <w:rsid w:val="009C2F76"/>
    <w:rsid w:val="009F5312"/>
    <w:rsid w:val="00A02AEC"/>
    <w:rsid w:val="00A0594A"/>
    <w:rsid w:val="00A12C47"/>
    <w:rsid w:val="00A23E04"/>
    <w:rsid w:val="00A419A5"/>
    <w:rsid w:val="00A4406C"/>
    <w:rsid w:val="00A46C15"/>
    <w:rsid w:val="00A50DC0"/>
    <w:rsid w:val="00A52132"/>
    <w:rsid w:val="00A63695"/>
    <w:rsid w:val="00A6764A"/>
    <w:rsid w:val="00A677A8"/>
    <w:rsid w:val="00A72F06"/>
    <w:rsid w:val="00A730F2"/>
    <w:rsid w:val="00A77FFD"/>
    <w:rsid w:val="00A96320"/>
    <w:rsid w:val="00AB4554"/>
    <w:rsid w:val="00AC47B6"/>
    <w:rsid w:val="00AD7DF9"/>
    <w:rsid w:val="00AE29BB"/>
    <w:rsid w:val="00AE2CAF"/>
    <w:rsid w:val="00AF33D9"/>
    <w:rsid w:val="00AF39BF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1EE2"/>
    <w:rsid w:val="00BD7F6E"/>
    <w:rsid w:val="00BF47B0"/>
    <w:rsid w:val="00BF5327"/>
    <w:rsid w:val="00C175D4"/>
    <w:rsid w:val="00C20374"/>
    <w:rsid w:val="00C21D33"/>
    <w:rsid w:val="00C3382F"/>
    <w:rsid w:val="00C4377C"/>
    <w:rsid w:val="00C47F0F"/>
    <w:rsid w:val="00C51D84"/>
    <w:rsid w:val="00C52506"/>
    <w:rsid w:val="00C82259"/>
    <w:rsid w:val="00C9223A"/>
    <w:rsid w:val="00C9297C"/>
    <w:rsid w:val="00C94014"/>
    <w:rsid w:val="00CB0A99"/>
    <w:rsid w:val="00CB5A09"/>
    <w:rsid w:val="00CD0CD4"/>
    <w:rsid w:val="00CE3B9F"/>
    <w:rsid w:val="00CE7626"/>
    <w:rsid w:val="00CF1FB8"/>
    <w:rsid w:val="00CF2C65"/>
    <w:rsid w:val="00D078B6"/>
    <w:rsid w:val="00D1022C"/>
    <w:rsid w:val="00D27115"/>
    <w:rsid w:val="00D32753"/>
    <w:rsid w:val="00D34DCC"/>
    <w:rsid w:val="00D46BE1"/>
    <w:rsid w:val="00D61D9B"/>
    <w:rsid w:val="00DA2F09"/>
    <w:rsid w:val="00DC1E60"/>
    <w:rsid w:val="00DC7767"/>
    <w:rsid w:val="00DD60CC"/>
    <w:rsid w:val="00DF1BED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83D81"/>
    <w:rsid w:val="00E905AA"/>
    <w:rsid w:val="00EA1DE4"/>
    <w:rsid w:val="00EA60EA"/>
    <w:rsid w:val="00EB29BF"/>
    <w:rsid w:val="00EC7C7F"/>
    <w:rsid w:val="00ED001D"/>
    <w:rsid w:val="00EF4B42"/>
    <w:rsid w:val="00F003D3"/>
    <w:rsid w:val="00F008AB"/>
    <w:rsid w:val="00F03E32"/>
    <w:rsid w:val="00F403A7"/>
    <w:rsid w:val="00F42289"/>
    <w:rsid w:val="00F42E75"/>
    <w:rsid w:val="00F45D65"/>
    <w:rsid w:val="00F5084C"/>
    <w:rsid w:val="00F517FA"/>
    <w:rsid w:val="00F52D16"/>
    <w:rsid w:val="00F62D67"/>
    <w:rsid w:val="00F63BD9"/>
    <w:rsid w:val="00F6694C"/>
    <w:rsid w:val="00F73C2A"/>
    <w:rsid w:val="00F8145F"/>
    <w:rsid w:val="00F9283D"/>
    <w:rsid w:val="00F96F18"/>
    <w:rsid w:val="00FA46DA"/>
    <w:rsid w:val="00FA508E"/>
    <w:rsid w:val="00FA5320"/>
    <w:rsid w:val="00FA7846"/>
    <w:rsid w:val="00FC26E5"/>
    <w:rsid w:val="00FD19F1"/>
    <w:rsid w:val="00FD370F"/>
    <w:rsid w:val="00FE0B90"/>
    <w:rsid w:val="00FF4C41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1C50E"/>
  <w15:docId w15:val="{F3F3AD0E-BC76-4EAB-AB35-40D4CA6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aliases w:val="Bullets Знак,Normal bullet 2 Знак"/>
    <w:link w:val="af3"/>
    <w:uiPriority w:val="34"/>
    <w:qFormat/>
    <w:locked/>
    <w:rsid w:val="008206B8"/>
    <w:rPr>
      <w:rFonts w:ascii="Times New Roman" w:hAnsi="Times New Roman" w:cs="Times New Roman"/>
      <w:sz w:val="28"/>
      <w:szCs w:val="28"/>
      <w:lang w:eastAsia="uk-UA"/>
    </w:rPr>
  </w:style>
  <w:style w:type="paragraph" w:styleId="af5">
    <w:name w:val="Revision"/>
    <w:hidden/>
    <w:uiPriority w:val="99"/>
    <w:semiHidden/>
    <w:rsid w:val="008206B8"/>
    <w:pPr>
      <w:spacing w:after="0" w:line="240" w:lineRule="auto"/>
    </w:pPr>
    <w:rPr>
      <w:rFonts w:ascii="Times New Roman" w:hAnsi="Times New Roman" w:cs="Mangal"/>
      <w:kern w:val="2"/>
      <w:sz w:val="28"/>
      <w:szCs w:val="25"/>
      <w:lang w:eastAsia="uk-UA" w:bidi="hi-IN"/>
    </w:rPr>
  </w:style>
  <w:style w:type="character" w:styleId="af6">
    <w:name w:val="annotation reference"/>
    <w:basedOn w:val="a0"/>
    <w:uiPriority w:val="99"/>
    <w:semiHidden/>
    <w:unhideWhenUsed/>
    <w:rsid w:val="00A4406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4406C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A4406C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4406C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A4406C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D6C69F0-3B21-4EF1-A173-B6121246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Цимбалюк Христина Олегівна</dc:creator>
  <cp:lastModifiedBy>Цимбалюк Христина Олегівна</cp:lastModifiedBy>
  <cp:revision>4</cp:revision>
  <cp:lastPrinted>2015-04-06T07:59:00Z</cp:lastPrinted>
  <dcterms:created xsi:type="dcterms:W3CDTF">2022-08-26T08:01:00Z</dcterms:created>
  <dcterms:modified xsi:type="dcterms:W3CDTF">2022-08-26T15:18:00Z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