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50EB" w14:textId="2716D745" w:rsidR="00657593" w:rsidRPr="00377505" w:rsidRDefault="00377505" w:rsidP="00377505">
      <w:pPr>
        <w:jc w:val="right"/>
        <w:rPr>
          <w:sz w:val="24"/>
          <w:szCs w:val="24"/>
        </w:rPr>
      </w:pPr>
      <w:r>
        <w:rPr>
          <w:sz w:val="24"/>
          <w:szCs w:val="24"/>
        </w:rPr>
        <w:t>Офіційно опубліковано 28.07.2023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65"/>
        <w:gridCol w:w="3258"/>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2pt" o:ole="">
                  <v:imagedata r:id="rId12" o:title=""/>
                </v:shape>
                <o:OLEObject Type="Embed" ProgID="CorelDraw.Graphic.16" ShapeID="_x0000_i1025" DrawAspect="Content" ObjectID="_1752037984" r:id="rId13"/>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2674"/>
        <w:gridCol w:w="1700"/>
        <w:gridCol w:w="1922"/>
      </w:tblGrid>
      <w:tr w:rsidR="00657593" w14:paraId="6AE0F1AB" w14:textId="77777777" w:rsidTr="0076356A">
        <w:tc>
          <w:tcPr>
            <w:tcW w:w="3510" w:type="dxa"/>
            <w:vAlign w:val="bottom"/>
          </w:tcPr>
          <w:p w14:paraId="77514C11" w14:textId="381079E6" w:rsidR="00657593" w:rsidRPr="00566BA2" w:rsidRDefault="00377505" w:rsidP="00E054A9">
            <w:r>
              <w:t>27 липня 2023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20CC7DCF" w:rsidR="00657593" w:rsidRDefault="00455E3C" w:rsidP="00377505">
            <w:pPr>
              <w:jc w:val="left"/>
            </w:pPr>
            <w:r>
              <w:t xml:space="preserve">     </w:t>
            </w:r>
            <w:r w:rsidR="00377505">
              <w:t>№ 93</w:t>
            </w:r>
          </w:p>
        </w:tc>
      </w:tr>
    </w:tbl>
    <w:p w14:paraId="52A42275"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tblGrid>
      <w:tr w:rsidR="002D5083" w:rsidRPr="002D5083" w14:paraId="32B2F6BC" w14:textId="77777777" w:rsidTr="005212C5">
        <w:trPr>
          <w:jc w:val="center"/>
        </w:trPr>
        <w:tc>
          <w:tcPr>
            <w:tcW w:w="5000" w:type="pct"/>
          </w:tcPr>
          <w:p w14:paraId="342355A8" w14:textId="77777777" w:rsidR="00A956D9" w:rsidRPr="002D5083" w:rsidRDefault="003006B0" w:rsidP="00E273A5">
            <w:pPr>
              <w:tabs>
                <w:tab w:val="left" w:pos="840"/>
                <w:tab w:val="center" w:pos="3293"/>
              </w:tabs>
              <w:jc w:val="center"/>
              <w:rPr>
                <w:bCs/>
                <w:color w:val="000000" w:themeColor="text1"/>
                <w:shd w:val="clear" w:color="auto" w:fill="FFFFFF"/>
              </w:rPr>
            </w:pPr>
            <w:r w:rsidRPr="002D5083">
              <w:rPr>
                <w:bCs/>
                <w:color w:val="000000" w:themeColor="text1"/>
                <w:shd w:val="clear" w:color="auto" w:fill="FFFFFF"/>
              </w:rPr>
              <w:t xml:space="preserve">Про внесення змін до постанови Правління Національного банку України </w:t>
            </w:r>
          </w:p>
          <w:p w14:paraId="5FD72C2A" w14:textId="77777777" w:rsidR="00B42719" w:rsidRPr="002D5083" w:rsidRDefault="003006B0" w:rsidP="00C63169">
            <w:pPr>
              <w:tabs>
                <w:tab w:val="left" w:pos="840"/>
                <w:tab w:val="center" w:pos="3293"/>
              </w:tabs>
              <w:jc w:val="center"/>
              <w:rPr>
                <w:bCs/>
                <w:color w:val="000000" w:themeColor="text1"/>
                <w:shd w:val="clear" w:color="auto" w:fill="FFFFFF"/>
              </w:rPr>
            </w:pPr>
            <w:r w:rsidRPr="002D5083">
              <w:rPr>
                <w:bCs/>
                <w:color w:val="000000" w:themeColor="text1"/>
                <w:shd w:val="clear" w:color="auto" w:fill="FFFFFF"/>
              </w:rPr>
              <w:t>від 23 березня 2022 року № 60</w:t>
            </w:r>
          </w:p>
          <w:p w14:paraId="32B2F6BB" w14:textId="3E2C2754" w:rsidR="00C63169" w:rsidRPr="002D5083" w:rsidRDefault="00C63169" w:rsidP="00C63169">
            <w:pPr>
              <w:tabs>
                <w:tab w:val="left" w:pos="840"/>
                <w:tab w:val="center" w:pos="3293"/>
              </w:tabs>
              <w:jc w:val="center"/>
              <w:rPr>
                <w:rFonts w:eastAsiaTheme="minorEastAsia"/>
                <w:color w:val="000000" w:themeColor="text1"/>
                <w:lang w:eastAsia="en-US"/>
              </w:rPr>
            </w:pPr>
            <w:bookmarkStart w:id="0" w:name="_GoBack"/>
            <w:bookmarkEnd w:id="0"/>
          </w:p>
        </w:tc>
      </w:tr>
    </w:tbl>
    <w:p w14:paraId="32B2F6BD" w14:textId="0F79B2D1" w:rsidR="00E53CCD" w:rsidRPr="002D5083" w:rsidRDefault="003006B0" w:rsidP="00045A97">
      <w:pPr>
        <w:spacing w:before="240" w:after="240"/>
        <w:ind w:firstLine="567"/>
        <w:rPr>
          <w:b/>
          <w:color w:val="000000" w:themeColor="text1"/>
        </w:rPr>
      </w:pPr>
      <w:r w:rsidRPr="002D5083">
        <w:rPr>
          <w:color w:val="000000" w:themeColor="text1"/>
        </w:rPr>
        <w:t xml:space="preserve">Відповідно до статей 7, 15, </w:t>
      </w:r>
      <w:r w:rsidR="00655197" w:rsidRPr="002D5083">
        <w:rPr>
          <w:color w:val="000000" w:themeColor="text1"/>
        </w:rPr>
        <w:t xml:space="preserve">44, </w:t>
      </w:r>
      <w:r w:rsidRPr="002D5083">
        <w:rPr>
          <w:color w:val="000000" w:themeColor="text1"/>
        </w:rPr>
        <w:t>55, 56 Закону України “Про Національний банк України”,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статей 11, 14, 15</w:t>
      </w:r>
      <w:r w:rsidR="00AA67EB" w:rsidRPr="002D5083">
        <w:rPr>
          <w:color w:val="000000" w:themeColor="text1"/>
        </w:rPr>
        <w:t xml:space="preserve"> </w:t>
      </w:r>
      <w:r w:rsidRPr="002D5083">
        <w:rPr>
          <w:color w:val="000000" w:themeColor="text1"/>
        </w:rPr>
        <w:t xml:space="preserve">Закону України “Про валюту і валютні операції”, </w:t>
      </w:r>
      <w:r w:rsidR="00FE1662" w:rsidRPr="002D5083">
        <w:rPr>
          <w:color w:val="000000" w:themeColor="text1"/>
        </w:rPr>
        <w:t>статт</w:t>
      </w:r>
      <w:r w:rsidR="00CA773A" w:rsidRPr="002D5083">
        <w:rPr>
          <w:color w:val="000000" w:themeColor="text1"/>
        </w:rPr>
        <w:t>і</w:t>
      </w:r>
      <w:r w:rsidR="00FE1662" w:rsidRPr="002D5083">
        <w:rPr>
          <w:color w:val="000000" w:themeColor="text1"/>
        </w:rPr>
        <w:t xml:space="preserve"> 5 </w:t>
      </w:r>
      <w:r w:rsidRPr="002D5083">
        <w:rPr>
          <w:color w:val="000000" w:themeColor="text1"/>
        </w:rPr>
        <w:t xml:space="preserve">Закону України “Про санкції”, </w:t>
      </w:r>
      <w:r w:rsidR="007939AE" w:rsidRPr="002D5083">
        <w:rPr>
          <w:color w:val="000000" w:themeColor="text1"/>
        </w:rPr>
        <w:t>Указу Президента України від 24 лютого 2022 року</w:t>
      </w:r>
      <w:r w:rsidR="00E92B65" w:rsidRPr="002D5083">
        <w:rPr>
          <w:color w:val="000000" w:themeColor="text1"/>
        </w:rPr>
        <w:t xml:space="preserve"> </w:t>
      </w:r>
      <w:r w:rsidR="007939AE" w:rsidRPr="002D5083">
        <w:rPr>
          <w:color w:val="000000" w:themeColor="text1"/>
        </w:rPr>
        <w:t xml:space="preserve"> №</w:t>
      </w:r>
      <w:r w:rsidR="00E33501" w:rsidRPr="002D5083">
        <w:rPr>
          <w:color w:val="000000" w:themeColor="text1"/>
        </w:rPr>
        <w:t> </w:t>
      </w:r>
      <w:r w:rsidR="007939AE" w:rsidRPr="002D5083">
        <w:rPr>
          <w:color w:val="000000" w:themeColor="text1"/>
        </w:rPr>
        <w:t xml:space="preserve">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w:t>
      </w:r>
      <w:r w:rsidRPr="002D5083">
        <w:rPr>
          <w:color w:val="000000" w:themeColor="text1"/>
        </w:rPr>
        <w:t xml:space="preserve">з метою визначення особливостей виконання окремих вимог законодавства у сфері фінансового моніторингу, валютного нагляду, нагляду </w:t>
      </w:r>
      <w:r w:rsidR="00844EBE" w:rsidRPr="002D5083">
        <w:rPr>
          <w:color w:val="000000" w:themeColor="text1"/>
        </w:rPr>
        <w:t xml:space="preserve">з питань </w:t>
      </w:r>
      <w:r w:rsidRPr="002D5083">
        <w:rPr>
          <w:color w:val="000000" w:themeColor="text1"/>
        </w:rPr>
        <w:t>реалізації</w:t>
      </w:r>
      <w:r w:rsidR="00844EBE" w:rsidRPr="002D5083">
        <w:rPr>
          <w:color w:val="000000" w:themeColor="text1"/>
        </w:rPr>
        <w:t xml:space="preserve"> і моніторингу</w:t>
      </w:r>
      <w:r w:rsidRPr="002D5083">
        <w:rPr>
          <w:color w:val="000000" w:themeColor="text1"/>
        </w:rPr>
        <w:t xml:space="preserve"> </w:t>
      </w:r>
      <w:r w:rsidR="00844EBE" w:rsidRPr="002D5083">
        <w:rPr>
          <w:color w:val="000000" w:themeColor="text1"/>
        </w:rPr>
        <w:t xml:space="preserve">ефективності персональних </w:t>
      </w:r>
      <w:r w:rsidRPr="002D5083">
        <w:rPr>
          <w:color w:val="000000" w:themeColor="text1"/>
        </w:rPr>
        <w:t>спеціальних економічних та інших обмежувальних заходів (санкцій) протягом дії воєнного стану</w:t>
      </w:r>
      <w:r w:rsidR="00FA508E" w:rsidRPr="002D5083">
        <w:rPr>
          <w:color w:val="000000" w:themeColor="text1"/>
        </w:rPr>
        <w:t xml:space="preserve"> </w:t>
      </w:r>
      <w:r w:rsidR="00115ECF" w:rsidRPr="002D5083">
        <w:rPr>
          <w:color w:val="000000" w:themeColor="text1"/>
        </w:rPr>
        <w:t xml:space="preserve">Правління Національного банку </w:t>
      </w:r>
      <w:r w:rsidR="00562C46" w:rsidRPr="002D5083">
        <w:rPr>
          <w:color w:val="000000" w:themeColor="text1"/>
        </w:rPr>
        <w:t>України</w:t>
      </w:r>
      <w:r w:rsidR="00562C46" w:rsidRPr="002D5083">
        <w:rPr>
          <w:b/>
          <w:color w:val="000000" w:themeColor="text1"/>
        </w:rPr>
        <w:t xml:space="preserve"> </w:t>
      </w:r>
      <w:r w:rsidR="00FA508E" w:rsidRPr="002D5083">
        <w:rPr>
          <w:b/>
          <w:color w:val="000000" w:themeColor="text1"/>
        </w:rPr>
        <w:t>постановляє:</w:t>
      </w:r>
    </w:p>
    <w:p w14:paraId="7D35A737" w14:textId="0BD470F3" w:rsidR="00AD7DF9" w:rsidRPr="002D5083" w:rsidRDefault="00AD7DF9" w:rsidP="00045A97">
      <w:pPr>
        <w:spacing w:before="240" w:after="240"/>
        <w:ind w:firstLine="567"/>
        <w:rPr>
          <w:color w:val="000000" w:themeColor="text1"/>
          <w:shd w:val="clear" w:color="auto" w:fill="FFFFFF"/>
        </w:rPr>
      </w:pPr>
      <w:r w:rsidRPr="002D5083">
        <w:rPr>
          <w:color w:val="000000" w:themeColor="text1"/>
        </w:rPr>
        <w:t>1.</w:t>
      </w:r>
      <w:r w:rsidRPr="002D5083">
        <w:rPr>
          <w:color w:val="000000" w:themeColor="text1"/>
          <w:lang w:val="en-US"/>
        </w:rPr>
        <w:t> </w:t>
      </w:r>
      <w:r w:rsidR="003006B0" w:rsidRPr="002D5083">
        <w:rPr>
          <w:color w:val="000000" w:themeColor="text1"/>
          <w:shd w:val="clear" w:color="auto" w:fill="FFFFFF"/>
        </w:rPr>
        <w:t xml:space="preserve">Унести до постанови Правління Національного банку України від 23 березня 2022 року  № 60 </w:t>
      </w:r>
      <w:r w:rsidR="003006B0" w:rsidRPr="002D5083">
        <w:rPr>
          <w:color w:val="000000" w:themeColor="text1"/>
        </w:rPr>
        <w:t>“</w:t>
      </w:r>
      <w:r w:rsidR="003006B0" w:rsidRPr="002D5083">
        <w:rPr>
          <w:color w:val="000000" w:themeColor="text1"/>
          <w:shd w:val="clear" w:color="auto" w:fill="FFFFFF"/>
        </w:rPr>
        <w:t>Про особливості виконання окремих вимог законодавства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протягом дії воєнного стану</w:t>
      </w:r>
      <w:r w:rsidR="003006B0" w:rsidRPr="002D5083">
        <w:rPr>
          <w:color w:val="000000" w:themeColor="text1"/>
        </w:rPr>
        <w:t>”</w:t>
      </w:r>
      <w:r w:rsidR="003006B0" w:rsidRPr="002D5083">
        <w:rPr>
          <w:color w:val="000000" w:themeColor="text1"/>
          <w:shd w:val="clear" w:color="auto" w:fill="FFFFFF"/>
        </w:rPr>
        <w:t xml:space="preserve"> (зі змінами) такі зміни:</w:t>
      </w:r>
    </w:p>
    <w:p w14:paraId="5B9BBFD8" w14:textId="73D019A1" w:rsidR="00201613" w:rsidRPr="002D5083" w:rsidRDefault="00844EBE" w:rsidP="00045A97">
      <w:pPr>
        <w:ind w:firstLine="567"/>
        <w:rPr>
          <w:color w:val="000000" w:themeColor="text1"/>
          <w:shd w:val="clear" w:color="auto" w:fill="FFFFFF"/>
        </w:rPr>
      </w:pPr>
      <w:r w:rsidRPr="002D5083">
        <w:rPr>
          <w:color w:val="000000" w:themeColor="text1"/>
          <w:shd w:val="clear" w:color="auto" w:fill="FFFFFF"/>
        </w:rPr>
        <w:t>1</w:t>
      </w:r>
      <w:r w:rsidR="00F673E7" w:rsidRPr="002D5083">
        <w:rPr>
          <w:color w:val="000000" w:themeColor="text1"/>
          <w:shd w:val="clear" w:color="auto" w:fill="FFFFFF"/>
        </w:rPr>
        <w:t xml:space="preserve">) </w:t>
      </w:r>
      <w:r w:rsidR="00201613" w:rsidRPr="002D5083">
        <w:rPr>
          <w:color w:val="000000" w:themeColor="text1"/>
          <w:shd w:val="clear" w:color="auto" w:fill="FFFFFF"/>
        </w:rPr>
        <w:t xml:space="preserve">пункт 8 виключити; </w:t>
      </w:r>
    </w:p>
    <w:p w14:paraId="1642F886" w14:textId="77777777" w:rsidR="00201613" w:rsidRPr="002D5083" w:rsidRDefault="00201613" w:rsidP="00045A97">
      <w:pPr>
        <w:ind w:firstLine="567"/>
        <w:rPr>
          <w:color w:val="000000" w:themeColor="text1"/>
          <w:shd w:val="clear" w:color="auto" w:fill="FFFFFF"/>
        </w:rPr>
      </w:pPr>
    </w:p>
    <w:p w14:paraId="4D91970D" w14:textId="34C2EC77" w:rsidR="00752514" w:rsidRPr="002D5083" w:rsidRDefault="00844EBE" w:rsidP="00045A97">
      <w:pPr>
        <w:ind w:firstLine="567"/>
        <w:rPr>
          <w:color w:val="000000" w:themeColor="text1"/>
          <w:shd w:val="clear" w:color="auto" w:fill="FFFFFF"/>
        </w:rPr>
      </w:pPr>
      <w:r w:rsidRPr="002D5083">
        <w:rPr>
          <w:color w:val="000000" w:themeColor="text1"/>
          <w:shd w:val="clear" w:color="auto" w:fill="FFFFFF"/>
        </w:rPr>
        <w:t>2</w:t>
      </w:r>
      <w:r w:rsidR="00201613" w:rsidRPr="002D5083">
        <w:rPr>
          <w:color w:val="000000" w:themeColor="text1"/>
          <w:shd w:val="clear" w:color="auto" w:fill="FFFFFF"/>
        </w:rPr>
        <w:t xml:space="preserve">) </w:t>
      </w:r>
      <w:r w:rsidR="006F7507" w:rsidRPr="002D5083">
        <w:rPr>
          <w:color w:val="000000" w:themeColor="text1"/>
          <w:shd w:val="clear" w:color="auto" w:fill="FFFFFF"/>
        </w:rPr>
        <w:t xml:space="preserve">в </w:t>
      </w:r>
      <w:r w:rsidR="00AB4CD6">
        <w:rPr>
          <w:color w:val="000000" w:themeColor="text1"/>
          <w:shd w:val="clear" w:color="auto" w:fill="FFFFFF"/>
        </w:rPr>
        <w:t>п</w:t>
      </w:r>
      <w:r w:rsidR="00201613" w:rsidRPr="002D5083">
        <w:rPr>
          <w:color w:val="000000" w:themeColor="text1"/>
          <w:shd w:val="clear" w:color="auto" w:fill="FFFFFF"/>
        </w:rPr>
        <w:t>ункт</w:t>
      </w:r>
      <w:r w:rsidR="00AB4CD6">
        <w:rPr>
          <w:color w:val="000000" w:themeColor="text1"/>
          <w:shd w:val="clear" w:color="auto" w:fill="FFFFFF"/>
        </w:rPr>
        <w:t>і</w:t>
      </w:r>
      <w:r w:rsidR="00201613" w:rsidRPr="002D5083">
        <w:rPr>
          <w:color w:val="000000" w:themeColor="text1"/>
          <w:shd w:val="clear" w:color="auto" w:fill="FFFFFF"/>
        </w:rPr>
        <w:t xml:space="preserve"> 9</w:t>
      </w:r>
      <w:r w:rsidR="00752514" w:rsidRPr="002D5083">
        <w:rPr>
          <w:color w:val="000000" w:themeColor="text1"/>
          <w:shd w:val="clear" w:color="auto" w:fill="FFFFFF"/>
        </w:rPr>
        <w:t>:</w:t>
      </w:r>
    </w:p>
    <w:p w14:paraId="1EBA1C22" w14:textId="793760B7" w:rsidR="00752514" w:rsidRPr="002D5083" w:rsidRDefault="00752514" w:rsidP="00045A97">
      <w:pPr>
        <w:ind w:firstLine="567"/>
        <w:rPr>
          <w:color w:val="000000" w:themeColor="text1"/>
          <w:shd w:val="clear" w:color="auto" w:fill="FFFFFF"/>
        </w:rPr>
      </w:pPr>
      <w:r w:rsidRPr="002D5083">
        <w:rPr>
          <w:color w:val="000000" w:themeColor="text1"/>
          <w:shd w:val="clear" w:color="auto" w:fill="FFFFFF"/>
          <w:lang w:val="en-US"/>
        </w:rPr>
        <w:t>c</w:t>
      </w:r>
      <w:r w:rsidRPr="002D5083">
        <w:rPr>
          <w:color w:val="000000" w:themeColor="text1"/>
          <w:shd w:val="clear" w:color="auto" w:fill="FFFFFF"/>
        </w:rPr>
        <w:t>лово “позапланові</w:t>
      </w:r>
      <w:r w:rsidR="00B63AB5" w:rsidRPr="002D5083">
        <w:rPr>
          <w:color w:val="000000" w:themeColor="text1"/>
          <w:shd w:val="clear" w:color="auto" w:fill="FFFFFF"/>
        </w:rPr>
        <w:t>”</w:t>
      </w:r>
      <w:r w:rsidRPr="002D5083">
        <w:rPr>
          <w:color w:val="000000" w:themeColor="text1"/>
          <w:shd w:val="clear" w:color="auto" w:fill="FFFFFF"/>
        </w:rPr>
        <w:t xml:space="preserve"> виключити;</w:t>
      </w:r>
    </w:p>
    <w:p w14:paraId="69E48A42" w14:textId="5724F06F" w:rsidR="00201613" w:rsidRPr="002D5083" w:rsidRDefault="00844EBE" w:rsidP="00045A97">
      <w:pPr>
        <w:ind w:firstLine="567"/>
        <w:rPr>
          <w:color w:val="000000" w:themeColor="text1"/>
          <w:shd w:val="clear" w:color="auto" w:fill="FFFFFF"/>
        </w:rPr>
      </w:pPr>
      <w:r w:rsidRPr="002D5083">
        <w:rPr>
          <w:color w:val="000000" w:themeColor="text1"/>
          <w:shd w:val="clear" w:color="auto" w:fill="FFFFFF"/>
        </w:rPr>
        <w:t>слова та цифри «Положення № 90 та постанови Правління Національного банку України від 17 грудня 2021 року </w:t>
      </w:r>
      <w:hyperlink r:id="rId14" w:anchor="n2" w:tgtFrame="_blank" w:history="1">
        <w:r w:rsidRPr="002D5083">
          <w:rPr>
            <w:rStyle w:val="af4"/>
            <w:color w:val="000000" w:themeColor="text1"/>
            <w:u w:val="none"/>
            <w:shd w:val="clear" w:color="auto" w:fill="FFFFFF"/>
          </w:rPr>
          <w:t>№ 145</w:t>
        </w:r>
      </w:hyperlink>
      <w:r w:rsidRPr="002D5083">
        <w:rPr>
          <w:color w:val="000000" w:themeColor="text1"/>
          <w:shd w:val="clear" w:color="auto" w:fill="FFFFFF"/>
        </w:rPr>
        <w:t> “Про особливості здійснення виїзних перевірок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під час карантину”» замінити словами та цифрами  “</w:t>
      </w:r>
      <w:hyperlink r:id="rId15" w:anchor="n15" w:tgtFrame="_blank" w:history="1">
        <w:r w:rsidRPr="002D5083">
          <w:rPr>
            <w:rStyle w:val="af4"/>
            <w:color w:val="000000" w:themeColor="text1"/>
            <w:u w:val="none"/>
          </w:rPr>
          <w:t xml:space="preserve">Положення про порядок організації та здійснення </w:t>
        </w:r>
        <w:r w:rsidRPr="002D5083">
          <w:rPr>
            <w:rStyle w:val="af4"/>
            <w:color w:val="000000" w:themeColor="text1"/>
            <w:u w:val="none"/>
          </w:rPr>
          <w:lastRenderedPageBreak/>
          <w:t>нагляду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w:t>
        </w:r>
      </w:hyperlink>
      <w:r w:rsidRPr="002D5083">
        <w:rPr>
          <w:color w:val="000000" w:themeColor="text1"/>
        </w:rPr>
        <w:t>, затвердженого постановою Правління Національного банку України від 30 червня 2020 року № 90 (далі – Положення №</w:t>
      </w:r>
      <w:r w:rsidR="009F29DD" w:rsidRPr="002D5083">
        <w:rPr>
          <w:color w:val="000000" w:themeColor="text1"/>
          <w:lang w:val="en-US"/>
        </w:rPr>
        <w:t> </w:t>
      </w:r>
      <w:r w:rsidRPr="002D5083">
        <w:rPr>
          <w:color w:val="000000" w:themeColor="text1"/>
        </w:rPr>
        <w:t>90), з урахуванням особливостей, визначених цією постановою</w:t>
      </w:r>
      <w:r w:rsidR="00201613" w:rsidRPr="002D5083">
        <w:rPr>
          <w:color w:val="000000" w:themeColor="text1"/>
          <w:shd w:val="clear" w:color="auto" w:fill="FFFFFF"/>
        </w:rPr>
        <w:t>”;</w:t>
      </w:r>
    </w:p>
    <w:p w14:paraId="50900E44" w14:textId="293CAB3A" w:rsidR="00201613" w:rsidRPr="002D5083" w:rsidRDefault="00201613" w:rsidP="00045A97">
      <w:pPr>
        <w:ind w:firstLine="567"/>
        <w:rPr>
          <w:color w:val="000000" w:themeColor="text1"/>
          <w:shd w:val="clear" w:color="auto" w:fill="FFFFFF"/>
        </w:rPr>
      </w:pPr>
    </w:p>
    <w:p w14:paraId="48E92CF7" w14:textId="74970C1D" w:rsidR="00F673E7" w:rsidRPr="00AB4CD6" w:rsidRDefault="0087352B" w:rsidP="00045A97">
      <w:pPr>
        <w:ind w:firstLine="567"/>
        <w:rPr>
          <w:color w:val="000000" w:themeColor="text1"/>
          <w:highlight w:val="yellow"/>
        </w:rPr>
      </w:pPr>
      <w:r w:rsidRPr="002D5083">
        <w:rPr>
          <w:color w:val="000000" w:themeColor="text1"/>
          <w:shd w:val="clear" w:color="auto" w:fill="FFFFFF"/>
        </w:rPr>
        <w:t>3</w:t>
      </w:r>
      <w:r w:rsidR="00201613" w:rsidRPr="002D5083">
        <w:rPr>
          <w:color w:val="000000" w:themeColor="text1"/>
          <w:shd w:val="clear" w:color="auto" w:fill="FFFFFF"/>
        </w:rPr>
        <w:t xml:space="preserve">) у </w:t>
      </w:r>
      <w:r w:rsidR="00201613" w:rsidRPr="00795AE6">
        <w:rPr>
          <w:color w:val="000000" w:themeColor="text1"/>
          <w:shd w:val="clear" w:color="auto" w:fill="FFFFFF"/>
        </w:rPr>
        <w:t>пункт</w:t>
      </w:r>
      <w:r w:rsidR="00F673E7" w:rsidRPr="00795AE6">
        <w:rPr>
          <w:color w:val="000000" w:themeColor="text1"/>
          <w:shd w:val="clear" w:color="auto" w:fill="FFFFFF"/>
        </w:rPr>
        <w:t>і</w:t>
      </w:r>
      <w:r w:rsidR="00201613" w:rsidRPr="00795AE6">
        <w:rPr>
          <w:color w:val="000000" w:themeColor="text1"/>
          <w:shd w:val="clear" w:color="auto" w:fill="FFFFFF"/>
        </w:rPr>
        <w:t xml:space="preserve"> </w:t>
      </w:r>
      <w:r w:rsidR="00201613" w:rsidRPr="00795AE6">
        <w:rPr>
          <w:rFonts w:eastAsiaTheme="minorEastAsia"/>
          <w:noProof/>
          <w:color w:val="000000" w:themeColor="text1"/>
          <w:lang w:eastAsia="en-US"/>
        </w:rPr>
        <w:t>9</w:t>
      </w:r>
      <w:r w:rsidR="00201613" w:rsidRPr="00795AE6">
        <w:rPr>
          <w:rFonts w:eastAsiaTheme="minorEastAsia"/>
          <w:noProof/>
          <w:color w:val="000000" w:themeColor="text1"/>
          <w:vertAlign w:val="superscript"/>
          <w:lang w:eastAsia="en-US"/>
        </w:rPr>
        <w:t>1</w:t>
      </w:r>
      <w:r w:rsidR="00795AE6" w:rsidRPr="00795AE6">
        <w:rPr>
          <w:rFonts w:eastAsiaTheme="minorEastAsia"/>
          <w:noProof/>
          <w:color w:val="000000" w:themeColor="text1"/>
          <w:vertAlign w:val="superscript"/>
          <w:lang w:eastAsia="en-US"/>
        </w:rPr>
        <w:t xml:space="preserve"> </w:t>
      </w:r>
      <w:r w:rsidR="00F673E7" w:rsidRPr="00795AE6">
        <w:rPr>
          <w:color w:val="000000" w:themeColor="text1"/>
        </w:rPr>
        <w:t xml:space="preserve">слова </w:t>
      </w:r>
      <w:r w:rsidR="00F673E7" w:rsidRPr="00795AE6">
        <w:rPr>
          <w:color w:val="000000" w:themeColor="text1"/>
          <w:lang w:val="ru-RU"/>
        </w:rPr>
        <w:t>“</w:t>
      </w:r>
      <w:r w:rsidR="00F673E7" w:rsidRPr="00795AE6">
        <w:rPr>
          <w:color w:val="000000" w:themeColor="text1"/>
        </w:rPr>
        <w:t>позапланової</w:t>
      </w:r>
      <w:r w:rsidR="00F673E7" w:rsidRPr="00795AE6">
        <w:rPr>
          <w:color w:val="000000" w:themeColor="text1"/>
          <w:lang w:val="ru-RU"/>
        </w:rPr>
        <w:t>”</w:t>
      </w:r>
      <w:r w:rsidR="00F673E7" w:rsidRPr="00795AE6">
        <w:rPr>
          <w:color w:val="000000" w:themeColor="text1"/>
        </w:rPr>
        <w:t xml:space="preserve"> та </w:t>
      </w:r>
      <w:r w:rsidR="00F673E7" w:rsidRPr="00795AE6">
        <w:rPr>
          <w:color w:val="000000" w:themeColor="text1"/>
          <w:lang w:val="ru-RU"/>
        </w:rPr>
        <w:t>“</w:t>
      </w:r>
      <w:r w:rsidR="00F673E7" w:rsidRPr="00795AE6">
        <w:rPr>
          <w:color w:val="000000" w:themeColor="text1"/>
        </w:rPr>
        <w:t>позаплановій</w:t>
      </w:r>
      <w:r w:rsidR="00F673E7" w:rsidRPr="00795AE6">
        <w:rPr>
          <w:color w:val="000000" w:themeColor="text1"/>
          <w:lang w:val="ru-RU"/>
        </w:rPr>
        <w:t>”</w:t>
      </w:r>
      <w:r w:rsidR="00F673E7" w:rsidRPr="00795AE6">
        <w:rPr>
          <w:color w:val="000000" w:themeColor="text1"/>
        </w:rPr>
        <w:t xml:space="preserve"> виключити;</w:t>
      </w:r>
    </w:p>
    <w:p w14:paraId="5327793C" w14:textId="6E38A450" w:rsidR="0087352B" w:rsidRPr="002D5083" w:rsidRDefault="0087352B" w:rsidP="00045A97">
      <w:pPr>
        <w:ind w:firstLine="567"/>
        <w:rPr>
          <w:color w:val="000000" w:themeColor="text1"/>
          <w:lang w:val="ru-RU"/>
        </w:rPr>
      </w:pPr>
    </w:p>
    <w:p w14:paraId="269EDDE3" w14:textId="5B9EAF84" w:rsidR="00312D44" w:rsidRPr="002D5083" w:rsidRDefault="0087352B" w:rsidP="00045A97">
      <w:pPr>
        <w:ind w:firstLine="567"/>
        <w:rPr>
          <w:color w:val="000000" w:themeColor="text1"/>
        </w:rPr>
      </w:pPr>
      <w:r w:rsidRPr="002D5083">
        <w:rPr>
          <w:color w:val="000000" w:themeColor="text1"/>
        </w:rPr>
        <w:t>4</w:t>
      </w:r>
      <w:r w:rsidR="00201613" w:rsidRPr="002D5083">
        <w:rPr>
          <w:color w:val="000000" w:themeColor="text1"/>
        </w:rPr>
        <w:t>) постанову після пункту</w:t>
      </w:r>
      <w:r w:rsidR="00312D44" w:rsidRPr="002D5083">
        <w:rPr>
          <w:color w:val="000000" w:themeColor="text1"/>
        </w:rPr>
        <w:t xml:space="preserve"> </w:t>
      </w:r>
      <w:r w:rsidR="00312D44" w:rsidRPr="002D5083">
        <w:rPr>
          <w:rFonts w:eastAsiaTheme="minorEastAsia"/>
          <w:noProof/>
          <w:color w:val="000000" w:themeColor="text1"/>
          <w:lang w:eastAsia="en-US"/>
        </w:rPr>
        <w:t>9</w:t>
      </w:r>
      <w:r w:rsidR="00312D44" w:rsidRPr="002D5083">
        <w:rPr>
          <w:rFonts w:eastAsiaTheme="minorEastAsia"/>
          <w:noProof/>
          <w:color w:val="000000" w:themeColor="text1"/>
          <w:vertAlign w:val="superscript"/>
          <w:lang w:eastAsia="en-US"/>
        </w:rPr>
        <w:t xml:space="preserve">1 </w:t>
      </w:r>
      <w:r w:rsidR="00312D44" w:rsidRPr="002D5083">
        <w:rPr>
          <w:color w:val="000000" w:themeColor="text1"/>
        </w:rPr>
        <w:t>доповнити</w:t>
      </w:r>
      <w:r w:rsidR="00201613" w:rsidRPr="002D5083">
        <w:rPr>
          <w:color w:val="000000" w:themeColor="text1"/>
        </w:rPr>
        <w:t xml:space="preserve"> </w:t>
      </w:r>
      <w:r w:rsidR="00F62B0D" w:rsidRPr="002D5083">
        <w:rPr>
          <w:color w:val="000000" w:themeColor="text1"/>
        </w:rPr>
        <w:t xml:space="preserve">чотирма </w:t>
      </w:r>
      <w:r w:rsidR="00312D44" w:rsidRPr="002D5083">
        <w:rPr>
          <w:color w:val="000000" w:themeColor="text1"/>
        </w:rPr>
        <w:t xml:space="preserve">новими пунктами </w:t>
      </w:r>
      <w:r w:rsidR="00312D44" w:rsidRPr="002D5083">
        <w:rPr>
          <w:rFonts w:eastAsiaTheme="minorEastAsia"/>
          <w:noProof/>
          <w:color w:val="000000" w:themeColor="text1"/>
          <w:lang w:eastAsia="en-US"/>
        </w:rPr>
        <w:t>9</w:t>
      </w:r>
      <w:r w:rsidR="00312D44" w:rsidRPr="002D5083">
        <w:rPr>
          <w:rFonts w:eastAsiaTheme="minorEastAsia"/>
          <w:noProof/>
          <w:color w:val="000000" w:themeColor="text1"/>
          <w:vertAlign w:val="superscript"/>
          <w:lang w:eastAsia="en-US"/>
        </w:rPr>
        <w:t>2</w:t>
      </w:r>
      <w:r w:rsidR="00312D44" w:rsidRPr="002D5083">
        <w:rPr>
          <w:color w:val="000000" w:themeColor="text1"/>
        </w:rPr>
        <w:t>–</w:t>
      </w:r>
      <w:r w:rsidR="00312D44" w:rsidRPr="002D5083">
        <w:rPr>
          <w:rFonts w:eastAsiaTheme="minorEastAsia"/>
          <w:noProof/>
          <w:color w:val="000000" w:themeColor="text1"/>
          <w:lang w:eastAsia="en-US"/>
        </w:rPr>
        <w:t>9</w:t>
      </w:r>
      <w:r w:rsidR="00312D44" w:rsidRPr="002D5083">
        <w:rPr>
          <w:rFonts w:eastAsiaTheme="minorEastAsia"/>
          <w:noProof/>
          <w:color w:val="000000" w:themeColor="text1"/>
          <w:vertAlign w:val="superscript"/>
          <w:lang w:eastAsia="en-US"/>
        </w:rPr>
        <w:t xml:space="preserve">5 </w:t>
      </w:r>
      <w:r w:rsidR="00312D44" w:rsidRPr="002D5083">
        <w:rPr>
          <w:color w:val="000000" w:themeColor="text1"/>
        </w:rPr>
        <w:t>такого змісту:</w:t>
      </w:r>
    </w:p>
    <w:p w14:paraId="3727F1F5" w14:textId="7FDCEDAF" w:rsidR="00312D44" w:rsidRPr="002D5083" w:rsidRDefault="00312D44" w:rsidP="00045A97">
      <w:pPr>
        <w:pStyle w:val="rvps2"/>
        <w:shd w:val="clear" w:color="auto" w:fill="FFFFFF"/>
        <w:spacing w:before="0" w:beforeAutospacing="0" w:after="150" w:afterAutospacing="0"/>
        <w:ind w:firstLine="567"/>
        <w:jc w:val="both"/>
        <w:rPr>
          <w:color w:val="000000" w:themeColor="text1"/>
          <w:sz w:val="28"/>
          <w:szCs w:val="28"/>
          <w:lang w:val="uk-UA" w:eastAsia="uk-UA"/>
        </w:rPr>
      </w:pPr>
      <w:r w:rsidRPr="002D5083">
        <w:rPr>
          <w:rFonts w:eastAsiaTheme="minorEastAsia"/>
          <w:noProof/>
          <w:color w:val="000000" w:themeColor="text1"/>
          <w:sz w:val="28"/>
          <w:szCs w:val="28"/>
          <w:vertAlign w:val="superscript"/>
          <w:lang w:val="uk-UA" w:eastAsia="en-US"/>
        </w:rPr>
        <w:t>“</w:t>
      </w:r>
      <w:r w:rsidRPr="002D5083">
        <w:rPr>
          <w:color w:val="000000" w:themeColor="text1"/>
          <w:sz w:val="28"/>
          <w:szCs w:val="28"/>
          <w:lang w:val="uk-UA"/>
        </w:rPr>
        <w:t>9</w:t>
      </w:r>
      <w:r w:rsidRPr="002D5083">
        <w:rPr>
          <w:rStyle w:val="rvts37"/>
          <w:bCs/>
          <w:color w:val="000000" w:themeColor="text1"/>
          <w:sz w:val="28"/>
          <w:szCs w:val="28"/>
          <w:vertAlign w:val="superscript"/>
          <w:lang w:val="uk-UA"/>
        </w:rPr>
        <w:t>2</w:t>
      </w:r>
      <w:r w:rsidRPr="002D5083">
        <w:rPr>
          <w:color w:val="000000" w:themeColor="text1"/>
          <w:sz w:val="28"/>
          <w:szCs w:val="28"/>
          <w:lang w:val="uk-UA"/>
        </w:rPr>
        <w:t xml:space="preserve">. </w:t>
      </w:r>
      <w:r w:rsidRPr="002D5083">
        <w:rPr>
          <w:color w:val="000000" w:themeColor="text1"/>
          <w:sz w:val="28"/>
          <w:szCs w:val="28"/>
          <w:lang w:val="uk-UA" w:eastAsia="uk-UA"/>
        </w:rPr>
        <w:t>Керівникові Суб’єкта під час проведення виїзних перевірок</w:t>
      </w:r>
      <w:bookmarkStart w:id="1" w:name="n12"/>
      <w:bookmarkStart w:id="2" w:name="n13"/>
      <w:bookmarkEnd w:id="1"/>
      <w:bookmarkEnd w:id="2"/>
      <w:r w:rsidR="00F02163" w:rsidRPr="002D5083">
        <w:rPr>
          <w:color w:val="000000" w:themeColor="text1"/>
          <w:sz w:val="28"/>
          <w:szCs w:val="28"/>
          <w:lang w:val="uk-UA" w:eastAsia="uk-UA"/>
        </w:rPr>
        <w:t xml:space="preserve"> </w:t>
      </w:r>
      <w:r w:rsidR="00C22AB7" w:rsidRPr="002D5083">
        <w:rPr>
          <w:color w:val="000000" w:themeColor="text1"/>
          <w:sz w:val="28"/>
          <w:szCs w:val="28"/>
          <w:lang w:val="uk-UA" w:eastAsia="uk-UA"/>
        </w:rPr>
        <w:t>за</w:t>
      </w:r>
      <w:r w:rsidRPr="002D5083">
        <w:rPr>
          <w:color w:val="000000" w:themeColor="text1"/>
          <w:sz w:val="28"/>
          <w:szCs w:val="28"/>
          <w:lang w:val="uk-UA" w:eastAsia="uk-UA"/>
        </w:rPr>
        <w:t xml:space="preserve"> наявності виробничої/технічної можливості забезпечити:</w:t>
      </w:r>
    </w:p>
    <w:p w14:paraId="127A09B1" w14:textId="550C6A1E" w:rsidR="00312D44" w:rsidRPr="002D5083" w:rsidRDefault="00312D44" w:rsidP="00045A97">
      <w:pPr>
        <w:shd w:val="clear" w:color="auto" w:fill="FFFFFF"/>
        <w:spacing w:after="150"/>
        <w:ind w:firstLine="567"/>
        <w:rPr>
          <w:color w:val="000000" w:themeColor="text1"/>
        </w:rPr>
      </w:pPr>
      <w:bookmarkStart w:id="3" w:name="n14"/>
      <w:bookmarkEnd w:id="3"/>
      <w:r w:rsidRPr="002D5083">
        <w:rPr>
          <w:color w:val="000000" w:themeColor="text1"/>
        </w:rPr>
        <w:t xml:space="preserve">1) віддалений доступ членам інспекційної групи до запитуваних документів та інформації Суб’єкта </w:t>
      </w:r>
      <w:r w:rsidR="0087352B" w:rsidRPr="002D5083">
        <w:rPr>
          <w:color w:val="000000" w:themeColor="text1"/>
        </w:rPr>
        <w:t>(</w:t>
      </w:r>
      <w:r w:rsidRPr="002D5083">
        <w:rPr>
          <w:color w:val="000000" w:themeColor="text1"/>
        </w:rPr>
        <w:t>у вигляді електронних файлів, копій документів у паперовій формі, виготовлених шляхом їх сканування або створення фотокопій, електронних документів, засвідчених КЕП відповідної уповноваженої</w:t>
      </w:r>
      <w:r w:rsidR="0087352B" w:rsidRPr="002D5083">
        <w:rPr>
          <w:color w:val="000000" w:themeColor="text1"/>
        </w:rPr>
        <w:t xml:space="preserve"> </w:t>
      </w:r>
      <w:r w:rsidRPr="002D5083">
        <w:rPr>
          <w:color w:val="000000" w:themeColor="text1"/>
        </w:rPr>
        <w:t>особи</w:t>
      </w:r>
      <w:r w:rsidR="0087352B" w:rsidRPr="002D5083">
        <w:rPr>
          <w:color w:val="000000" w:themeColor="text1"/>
        </w:rPr>
        <w:t>)</w:t>
      </w:r>
      <w:r w:rsidRPr="002D5083">
        <w:rPr>
          <w:color w:val="000000" w:themeColor="text1"/>
        </w:rPr>
        <w:t>,</w:t>
      </w:r>
      <w:r w:rsidR="00EB0EE3" w:rsidRPr="002D5083">
        <w:rPr>
          <w:b/>
          <w:color w:val="000000" w:themeColor="text1"/>
        </w:rPr>
        <w:t xml:space="preserve"> </w:t>
      </w:r>
      <w:r w:rsidR="00EB0EE3" w:rsidRPr="002D5083">
        <w:rPr>
          <w:color w:val="000000" w:themeColor="text1"/>
        </w:rPr>
        <w:t>з урахуванням тих, що містять інформацію з обмеженим доступом, або їх надсилання</w:t>
      </w:r>
      <w:r w:rsidR="00EB0EE3" w:rsidRPr="002D5083">
        <w:rPr>
          <w:color w:val="000000" w:themeColor="text1"/>
          <w:shd w:val="clear" w:color="auto" w:fill="FFFFFF"/>
        </w:rPr>
        <w:t xml:space="preserve"> засобами системи електронної взаємодії поштово-портального рішення Національного банку України або через офіційну електронну поштову скриньку Національного банку України (за умови забезпечення конфіденційності інформації з обмеженим доступом), або засобами “АРМ-НБУ-інформаційний” (для електронних документів із грифом обмеження доступу “Банківська таємниця”),</w:t>
      </w:r>
      <w:r w:rsidR="00EB0EE3" w:rsidRPr="002D5083">
        <w:rPr>
          <w:color w:val="000000" w:themeColor="text1"/>
        </w:rPr>
        <w:t xml:space="preserve"> або передавання на змінних носіях інформації</w:t>
      </w:r>
      <w:r w:rsidRPr="002D5083">
        <w:rPr>
          <w:color w:val="000000" w:themeColor="text1"/>
        </w:rPr>
        <w:t>;</w:t>
      </w:r>
    </w:p>
    <w:p w14:paraId="6ED27BED" w14:textId="700869DF" w:rsidR="00312D44" w:rsidRPr="002D5083" w:rsidRDefault="00312D44" w:rsidP="00045A97">
      <w:pPr>
        <w:shd w:val="clear" w:color="auto" w:fill="FFFFFF"/>
        <w:spacing w:after="150"/>
        <w:ind w:firstLine="567"/>
        <w:rPr>
          <w:color w:val="000000" w:themeColor="text1"/>
        </w:rPr>
      </w:pPr>
      <w:bookmarkStart w:id="4" w:name="n15"/>
      <w:bookmarkEnd w:id="4"/>
      <w:r w:rsidRPr="002D5083">
        <w:rPr>
          <w:color w:val="000000" w:themeColor="text1"/>
        </w:rPr>
        <w:t>2) віддалений доступ членам інспекційної групи до систем автоматизації Суб’єкта, які використовуються Суб’єктом (без права внесення, модифікації, видалення та несанкціонованого копіювання інформації), а також технологічну та консультаційну підтримку з питань функціонування таких систем.</w:t>
      </w:r>
    </w:p>
    <w:p w14:paraId="0DD2843B" w14:textId="52440527" w:rsidR="00312D44" w:rsidRPr="002D5083" w:rsidRDefault="00312D44" w:rsidP="00045A97">
      <w:pPr>
        <w:shd w:val="clear" w:color="auto" w:fill="FFFFFF"/>
        <w:spacing w:after="150"/>
        <w:ind w:firstLine="567"/>
        <w:rPr>
          <w:color w:val="000000" w:themeColor="text1"/>
          <w:shd w:val="clear" w:color="auto" w:fill="FFFFFF"/>
        </w:rPr>
      </w:pPr>
      <w:r w:rsidRPr="002D5083">
        <w:rPr>
          <w:color w:val="000000" w:themeColor="text1"/>
        </w:rPr>
        <w:t>9</w:t>
      </w:r>
      <w:r w:rsidRPr="002D5083">
        <w:rPr>
          <w:rStyle w:val="rvts37"/>
          <w:bCs/>
          <w:color w:val="000000" w:themeColor="text1"/>
          <w:vertAlign w:val="superscript"/>
        </w:rPr>
        <w:t>3</w:t>
      </w:r>
      <w:r w:rsidRPr="002D5083">
        <w:rPr>
          <w:color w:val="000000" w:themeColor="text1"/>
        </w:rPr>
        <w:t xml:space="preserve">. </w:t>
      </w:r>
      <w:r w:rsidRPr="002D5083">
        <w:rPr>
          <w:color w:val="000000" w:themeColor="text1"/>
          <w:shd w:val="clear" w:color="auto" w:fill="FFFFFF"/>
        </w:rPr>
        <w:t xml:space="preserve">Керівник Суб’єкта </w:t>
      </w:r>
      <w:r w:rsidRPr="002D5083">
        <w:rPr>
          <w:color w:val="000000" w:themeColor="text1"/>
        </w:rPr>
        <w:t>під час проведення виїзної перевірки</w:t>
      </w:r>
      <w:r w:rsidRPr="002D5083">
        <w:rPr>
          <w:color w:val="000000" w:themeColor="text1"/>
          <w:shd w:val="clear" w:color="auto" w:fill="FFFFFF"/>
        </w:rPr>
        <w:t xml:space="preserve"> </w:t>
      </w:r>
      <w:r w:rsidR="0087352B" w:rsidRPr="002D5083">
        <w:rPr>
          <w:color w:val="000000" w:themeColor="text1"/>
          <w:shd w:val="clear" w:color="auto" w:fill="FFFFFF"/>
        </w:rPr>
        <w:t xml:space="preserve">зобов’язаний </w:t>
      </w:r>
      <w:r w:rsidRPr="002D5083">
        <w:rPr>
          <w:color w:val="000000" w:themeColor="text1"/>
          <w:shd w:val="clear" w:color="auto" w:fill="FFFFFF"/>
        </w:rPr>
        <w:t xml:space="preserve">організувати віддалений доступ (у разі </w:t>
      </w:r>
      <w:r w:rsidR="0087352B" w:rsidRPr="002D5083">
        <w:rPr>
          <w:color w:val="000000" w:themeColor="text1"/>
          <w:shd w:val="clear" w:color="auto" w:fill="FFFFFF"/>
        </w:rPr>
        <w:t xml:space="preserve">наявності виробничої/технічної </w:t>
      </w:r>
      <w:r w:rsidRPr="002D5083">
        <w:rPr>
          <w:color w:val="000000" w:themeColor="text1"/>
          <w:shd w:val="clear" w:color="auto" w:fill="FFFFFF"/>
        </w:rPr>
        <w:t>можливості надання такого доступу) з дотриманням вимог інформаційної безпеки, установлених нормативно-правовими актами Національного банку України, за технологією, що використовується Суб’єктом для віддаленого доступу працівників Суб’єкта, з використанням технічних засобів (комп’ютерної техніки) Суб’єкта або Національного банку України.</w:t>
      </w:r>
    </w:p>
    <w:p w14:paraId="733DD41D" w14:textId="5DA33DE5" w:rsidR="00312D44" w:rsidRPr="002D5083" w:rsidRDefault="00312D44" w:rsidP="00DC1E0F">
      <w:pPr>
        <w:shd w:val="clear" w:color="auto" w:fill="FFFFFF"/>
        <w:spacing w:after="150"/>
        <w:ind w:firstLine="567"/>
        <w:rPr>
          <w:color w:val="000000" w:themeColor="text1"/>
          <w:shd w:val="clear" w:color="auto" w:fill="FFFFFF"/>
        </w:rPr>
      </w:pPr>
      <w:r w:rsidRPr="002D5083">
        <w:rPr>
          <w:color w:val="000000" w:themeColor="text1"/>
        </w:rPr>
        <w:t>9</w:t>
      </w:r>
      <w:r w:rsidRPr="002D5083">
        <w:rPr>
          <w:rStyle w:val="rvts37"/>
          <w:bCs/>
          <w:color w:val="000000" w:themeColor="text1"/>
          <w:vertAlign w:val="superscript"/>
        </w:rPr>
        <w:t>4</w:t>
      </w:r>
      <w:r w:rsidRPr="002D5083">
        <w:rPr>
          <w:color w:val="000000" w:themeColor="text1"/>
        </w:rPr>
        <w:t xml:space="preserve">. </w:t>
      </w:r>
      <w:r w:rsidRPr="002D5083">
        <w:rPr>
          <w:color w:val="000000" w:themeColor="text1"/>
          <w:shd w:val="clear" w:color="auto" w:fill="FFFFFF"/>
        </w:rPr>
        <w:t xml:space="preserve">Члени інспекційної групи </w:t>
      </w:r>
      <w:r w:rsidRPr="002D5083">
        <w:rPr>
          <w:color w:val="000000" w:themeColor="text1"/>
        </w:rPr>
        <w:t>під час проведення виїзної перевірки</w:t>
      </w:r>
      <w:r w:rsidRPr="002D5083">
        <w:rPr>
          <w:color w:val="000000" w:themeColor="text1"/>
          <w:shd w:val="clear" w:color="auto" w:fill="FFFFFF"/>
        </w:rPr>
        <w:t xml:space="preserve"> можуть отримати віддалений доступ (у разі </w:t>
      </w:r>
      <w:r w:rsidR="0087352B" w:rsidRPr="002D5083">
        <w:rPr>
          <w:color w:val="000000" w:themeColor="text1"/>
          <w:shd w:val="clear" w:color="auto" w:fill="FFFFFF"/>
        </w:rPr>
        <w:t xml:space="preserve">забезпечення виробничої/технічної можливості його </w:t>
      </w:r>
      <w:r w:rsidRPr="002D5083">
        <w:rPr>
          <w:color w:val="000000" w:themeColor="text1"/>
          <w:shd w:val="clear" w:color="auto" w:fill="FFFFFF"/>
        </w:rPr>
        <w:t>надання</w:t>
      </w:r>
      <w:r w:rsidR="0087352B" w:rsidRPr="002D5083">
        <w:rPr>
          <w:color w:val="000000" w:themeColor="text1"/>
          <w:shd w:val="clear" w:color="auto" w:fill="FFFFFF"/>
        </w:rPr>
        <w:t xml:space="preserve"> Суб’єктом</w:t>
      </w:r>
      <w:r w:rsidRPr="002D5083">
        <w:rPr>
          <w:color w:val="000000" w:themeColor="text1"/>
          <w:shd w:val="clear" w:color="auto" w:fill="FFFFFF"/>
        </w:rPr>
        <w:t xml:space="preserve">) з використанням комп’ютерної техніки Національного банку України за умови організації Суб’єктом такого доступу через вебінтерфейс та/або шляхом надання доступу до віртуальних/термінальних/фізичних робочих станцій із застосуванням систем контролю за діями користувачів </w:t>
      </w:r>
      <w:r w:rsidR="0087352B" w:rsidRPr="002D5083">
        <w:rPr>
          <w:color w:val="000000" w:themeColor="text1"/>
          <w:shd w:val="clear" w:color="auto" w:fill="FFFFFF"/>
        </w:rPr>
        <w:t xml:space="preserve">із привілейованими правами доступу </w:t>
      </w:r>
      <w:r w:rsidR="008E5C26" w:rsidRPr="002D5083">
        <w:rPr>
          <w:color w:val="000000" w:themeColor="text1"/>
          <w:shd w:val="clear" w:color="auto" w:fill="FFFFFF"/>
        </w:rPr>
        <w:t xml:space="preserve">в </w:t>
      </w:r>
      <w:r w:rsidRPr="002D5083">
        <w:rPr>
          <w:color w:val="000000" w:themeColor="text1"/>
          <w:shd w:val="clear" w:color="auto" w:fill="FFFFFF"/>
        </w:rPr>
        <w:t xml:space="preserve">режимах, </w:t>
      </w:r>
      <w:r w:rsidRPr="002D5083">
        <w:rPr>
          <w:color w:val="000000" w:themeColor="text1"/>
          <w:shd w:val="clear" w:color="auto" w:fill="FFFFFF"/>
        </w:rPr>
        <w:lastRenderedPageBreak/>
        <w:t xml:space="preserve">що не потребують додаткового налаштування технічних </w:t>
      </w:r>
      <w:r w:rsidR="00EB0EE3" w:rsidRPr="002D5083">
        <w:rPr>
          <w:color w:val="000000" w:themeColor="text1"/>
          <w:shd w:val="clear" w:color="auto" w:fill="FFFFFF"/>
        </w:rPr>
        <w:t xml:space="preserve">та програмних </w:t>
      </w:r>
      <w:r w:rsidRPr="002D5083">
        <w:rPr>
          <w:color w:val="000000" w:themeColor="text1"/>
          <w:shd w:val="clear" w:color="auto" w:fill="FFFFFF"/>
        </w:rPr>
        <w:t>засобів Національного банку України.</w:t>
      </w:r>
    </w:p>
    <w:p w14:paraId="125C9CCF" w14:textId="77777777" w:rsidR="0005624D" w:rsidRPr="002D5083" w:rsidRDefault="0005624D" w:rsidP="0005624D">
      <w:pPr>
        <w:pStyle w:val="rvps2"/>
        <w:shd w:val="clear" w:color="auto" w:fill="FFFFFF"/>
        <w:spacing w:before="0" w:beforeAutospacing="0" w:after="150" w:afterAutospacing="0"/>
        <w:ind w:right="35" w:firstLine="567"/>
        <w:jc w:val="both"/>
        <w:rPr>
          <w:color w:val="000000" w:themeColor="text1"/>
          <w:sz w:val="28"/>
          <w:szCs w:val="28"/>
          <w:lang w:val="uk-UA" w:eastAsia="uk-UA"/>
        </w:rPr>
      </w:pPr>
      <w:r w:rsidRPr="002D5083">
        <w:rPr>
          <w:color w:val="000000" w:themeColor="text1"/>
          <w:sz w:val="28"/>
          <w:szCs w:val="28"/>
          <w:lang w:val="uk-UA"/>
        </w:rPr>
        <w:t>9</w:t>
      </w:r>
      <w:r w:rsidRPr="002D5083">
        <w:rPr>
          <w:rStyle w:val="rvts37"/>
          <w:bCs/>
          <w:color w:val="000000" w:themeColor="text1"/>
          <w:sz w:val="28"/>
          <w:szCs w:val="28"/>
          <w:vertAlign w:val="superscript"/>
          <w:lang w:val="uk-UA"/>
        </w:rPr>
        <w:t>5</w:t>
      </w:r>
      <w:r w:rsidRPr="002D5083">
        <w:rPr>
          <w:color w:val="000000" w:themeColor="text1"/>
          <w:sz w:val="28"/>
          <w:szCs w:val="28"/>
          <w:lang w:val="uk-UA"/>
        </w:rPr>
        <w:t xml:space="preserve">. </w:t>
      </w:r>
      <w:r w:rsidRPr="002D5083">
        <w:rPr>
          <w:color w:val="000000" w:themeColor="text1"/>
          <w:sz w:val="28"/>
          <w:szCs w:val="28"/>
          <w:lang w:val="uk-UA" w:eastAsia="uk-UA"/>
        </w:rPr>
        <w:t>Керівник та/або заступник керівника інспекційної групи, члени інспекційної групи мають право:</w:t>
      </w:r>
    </w:p>
    <w:p w14:paraId="05F8655A" w14:textId="25F83CDB" w:rsidR="0005624D" w:rsidRPr="002D5083" w:rsidRDefault="0005624D" w:rsidP="0005624D">
      <w:pPr>
        <w:shd w:val="clear" w:color="auto" w:fill="FFFFFF"/>
        <w:spacing w:after="150"/>
        <w:ind w:right="35" w:firstLine="567"/>
        <w:rPr>
          <w:color w:val="000000" w:themeColor="text1"/>
        </w:rPr>
      </w:pPr>
      <w:r w:rsidRPr="002D5083">
        <w:rPr>
          <w:color w:val="000000" w:themeColor="text1"/>
        </w:rPr>
        <w:t xml:space="preserve">1) проводити зустрічі в режимі відеоконференції та/або телефонного зв’язку з керівниками,  працівниками, уповноваженими особами Суб’єкта. Зустрічі можуть </w:t>
      </w:r>
      <w:r w:rsidR="008E5C26" w:rsidRPr="002D5083">
        <w:rPr>
          <w:color w:val="000000" w:themeColor="text1"/>
        </w:rPr>
        <w:t xml:space="preserve">проводитися </w:t>
      </w:r>
      <w:r w:rsidRPr="002D5083">
        <w:rPr>
          <w:color w:val="000000" w:themeColor="text1"/>
        </w:rPr>
        <w:t xml:space="preserve">за </w:t>
      </w:r>
      <w:r w:rsidR="008E5C26" w:rsidRPr="002D5083">
        <w:rPr>
          <w:color w:val="000000" w:themeColor="text1"/>
        </w:rPr>
        <w:t xml:space="preserve">участю </w:t>
      </w:r>
      <w:r w:rsidRPr="002D5083">
        <w:rPr>
          <w:color w:val="000000" w:themeColor="text1"/>
        </w:rPr>
        <w:t>інших працівників Національного банку України, до компетенції яких належать питання, що розглядаються на таких зустрічах;</w:t>
      </w:r>
    </w:p>
    <w:p w14:paraId="35351123" w14:textId="6234F00C" w:rsidR="00312D44" w:rsidRPr="002D5083" w:rsidRDefault="0005624D" w:rsidP="0005624D">
      <w:pPr>
        <w:pStyle w:val="rvps2"/>
        <w:shd w:val="clear" w:color="auto" w:fill="FFFFFF"/>
        <w:spacing w:before="0" w:beforeAutospacing="0" w:after="150" w:afterAutospacing="0"/>
        <w:ind w:firstLine="567"/>
        <w:jc w:val="both"/>
        <w:rPr>
          <w:color w:val="000000" w:themeColor="text1"/>
        </w:rPr>
      </w:pPr>
      <w:r w:rsidRPr="002D5083">
        <w:rPr>
          <w:color w:val="000000" w:themeColor="text1"/>
          <w:sz w:val="28"/>
          <w:szCs w:val="28"/>
          <w:lang w:eastAsia="uk-UA"/>
        </w:rPr>
        <w:t>2) проводити інтерв’ю в режимі відеоконференції</w:t>
      </w:r>
      <w:r w:rsidRPr="002D5083" w:rsidDel="0093188D">
        <w:rPr>
          <w:color w:val="000000" w:themeColor="text1"/>
          <w:sz w:val="28"/>
          <w:szCs w:val="28"/>
          <w:lang w:eastAsia="uk-UA"/>
        </w:rPr>
        <w:t xml:space="preserve"> </w:t>
      </w:r>
      <w:r w:rsidRPr="002D5083">
        <w:rPr>
          <w:color w:val="000000" w:themeColor="text1"/>
          <w:sz w:val="28"/>
          <w:szCs w:val="28"/>
          <w:lang w:eastAsia="uk-UA"/>
        </w:rPr>
        <w:t>з керівниками, працівниками, уповноваженими особами Суб’єкта.</w:t>
      </w:r>
      <w:r w:rsidR="00312D44" w:rsidRPr="002D5083">
        <w:rPr>
          <w:color w:val="000000" w:themeColor="text1"/>
        </w:rPr>
        <w:t>”;</w:t>
      </w:r>
    </w:p>
    <w:p w14:paraId="544A18C0" w14:textId="7610C95B" w:rsidR="00F62B0D" w:rsidRPr="002D5083" w:rsidRDefault="00DC1E0F" w:rsidP="00DC1E0F">
      <w:pPr>
        <w:shd w:val="clear" w:color="auto" w:fill="FFFFFF"/>
        <w:spacing w:after="150"/>
        <w:ind w:firstLine="567"/>
        <w:rPr>
          <w:color w:val="000000" w:themeColor="text1"/>
          <w:lang w:val="ru-RU"/>
        </w:rPr>
      </w:pPr>
      <w:r w:rsidRPr="002D5083">
        <w:rPr>
          <w:color w:val="000000" w:themeColor="text1"/>
          <w:lang w:val="ru-RU"/>
        </w:rPr>
        <w:t>5</w:t>
      </w:r>
      <w:r w:rsidR="000B4F9B" w:rsidRPr="002D5083">
        <w:rPr>
          <w:color w:val="000000" w:themeColor="text1"/>
          <w:lang w:val="ru-RU"/>
        </w:rPr>
        <w:t xml:space="preserve">) </w:t>
      </w:r>
      <w:r w:rsidR="000B4F9B" w:rsidRPr="002D5083">
        <w:rPr>
          <w:color w:val="000000" w:themeColor="text1"/>
        </w:rPr>
        <w:t xml:space="preserve">у пункті 10 слово </w:t>
      </w:r>
      <w:r w:rsidR="000B4F9B" w:rsidRPr="002D5083">
        <w:rPr>
          <w:color w:val="000000" w:themeColor="text1"/>
          <w:lang w:val="ru-RU"/>
        </w:rPr>
        <w:t>“</w:t>
      </w:r>
      <w:r w:rsidR="000B4F9B" w:rsidRPr="002D5083">
        <w:rPr>
          <w:color w:val="000000" w:themeColor="text1"/>
        </w:rPr>
        <w:t>позапланової</w:t>
      </w:r>
      <w:r w:rsidR="000B4F9B" w:rsidRPr="002D5083">
        <w:rPr>
          <w:color w:val="000000" w:themeColor="text1"/>
          <w:lang w:val="ru-RU"/>
        </w:rPr>
        <w:t>”</w:t>
      </w:r>
      <w:r w:rsidR="000B4F9B" w:rsidRPr="002D5083">
        <w:rPr>
          <w:color w:val="000000" w:themeColor="text1"/>
        </w:rPr>
        <w:t xml:space="preserve"> виключити;</w:t>
      </w:r>
    </w:p>
    <w:p w14:paraId="2E721E36" w14:textId="3EA2455B" w:rsidR="00B84892" w:rsidRPr="002D5083" w:rsidRDefault="00DC1E0F" w:rsidP="00DC1E0F">
      <w:pPr>
        <w:ind w:firstLine="567"/>
        <w:rPr>
          <w:color w:val="000000" w:themeColor="text1"/>
          <w:shd w:val="clear" w:color="auto" w:fill="FFFFFF"/>
        </w:rPr>
      </w:pPr>
      <w:r w:rsidRPr="002D5083">
        <w:rPr>
          <w:color w:val="000000" w:themeColor="text1"/>
          <w:shd w:val="clear" w:color="auto" w:fill="FFFFFF"/>
        </w:rPr>
        <w:t>6</w:t>
      </w:r>
      <w:r w:rsidR="00B84892" w:rsidRPr="002D5083">
        <w:rPr>
          <w:color w:val="000000" w:themeColor="text1"/>
          <w:shd w:val="clear" w:color="auto" w:fill="FFFFFF"/>
        </w:rPr>
        <w:t xml:space="preserve">) пункти </w:t>
      </w:r>
      <w:r w:rsidR="00B84892" w:rsidRPr="002D5083">
        <w:rPr>
          <w:color w:val="000000" w:themeColor="text1"/>
        </w:rPr>
        <w:t>10</w:t>
      </w:r>
      <w:r w:rsidR="00B84892" w:rsidRPr="002D5083">
        <w:rPr>
          <w:rStyle w:val="rvts37"/>
          <w:bCs/>
          <w:color w:val="000000" w:themeColor="text1"/>
          <w:vertAlign w:val="superscript"/>
        </w:rPr>
        <w:t xml:space="preserve">1 </w:t>
      </w:r>
      <w:r w:rsidR="00B84892" w:rsidRPr="002D5083">
        <w:rPr>
          <w:color w:val="000000" w:themeColor="text1"/>
          <w:shd w:val="clear" w:color="auto" w:fill="FFFFFF"/>
        </w:rPr>
        <w:t xml:space="preserve">та </w:t>
      </w:r>
      <w:r w:rsidR="00B84892" w:rsidRPr="002D5083">
        <w:rPr>
          <w:color w:val="000000" w:themeColor="text1"/>
        </w:rPr>
        <w:t>10</w:t>
      </w:r>
      <w:r w:rsidR="00B84892" w:rsidRPr="002D5083">
        <w:rPr>
          <w:rStyle w:val="rvts37"/>
          <w:bCs/>
          <w:color w:val="000000" w:themeColor="text1"/>
          <w:vertAlign w:val="superscript"/>
        </w:rPr>
        <w:t xml:space="preserve">2 </w:t>
      </w:r>
      <w:r w:rsidR="00F550C4" w:rsidRPr="002D5083">
        <w:rPr>
          <w:rStyle w:val="rvts37"/>
          <w:bCs/>
          <w:color w:val="000000" w:themeColor="text1"/>
          <w:vertAlign w:val="superscript"/>
        </w:rPr>
        <w:t xml:space="preserve"> </w:t>
      </w:r>
      <w:r w:rsidRPr="002D5083">
        <w:rPr>
          <w:color w:val="000000" w:themeColor="text1"/>
          <w:shd w:val="clear" w:color="auto" w:fill="FFFFFF"/>
        </w:rPr>
        <w:t xml:space="preserve">замінити сімома новими пунктами </w:t>
      </w:r>
      <w:r w:rsidRPr="002D5083">
        <w:rPr>
          <w:color w:val="000000" w:themeColor="text1"/>
        </w:rPr>
        <w:t>10</w:t>
      </w:r>
      <w:r w:rsidRPr="002D5083">
        <w:rPr>
          <w:rStyle w:val="rvts37"/>
          <w:bCs/>
          <w:color w:val="000000" w:themeColor="text1"/>
          <w:vertAlign w:val="superscript"/>
        </w:rPr>
        <w:t>1</w:t>
      </w:r>
      <w:r w:rsidRPr="002D5083">
        <w:rPr>
          <w:color w:val="000000" w:themeColor="text1"/>
          <w:shd w:val="clear" w:color="auto" w:fill="FFFFFF"/>
        </w:rPr>
        <w:t>–</w:t>
      </w:r>
      <w:r w:rsidRPr="002D5083">
        <w:rPr>
          <w:color w:val="000000" w:themeColor="text1"/>
        </w:rPr>
        <w:t>10</w:t>
      </w:r>
      <w:r w:rsidRPr="002D5083">
        <w:rPr>
          <w:rStyle w:val="rvts37"/>
          <w:bCs/>
          <w:color w:val="000000" w:themeColor="text1"/>
          <w:vertAlign w:val="superscript"/>
        </w:rPr>
        <w:t xml:space="preserve">7 </w:t>
      </w:r>
      <w:r w:rsidRPr="002D5083">
        <w:rPr>
          <w:color w:val="000000" w:themeColor="text1"/>
          <w:shd w:val="clear" w:color="auto" w:fill="FFFFFF"/>
        </w:rPr>
        <w:t>такого змісту</w:t>
      </w:r>
      <w:r w:rsidR="00B84892" w:rsidRPr="002D5083">
        <w:rPr>
          <w:color w:val="000000" w:themeColor="text1"/>
          <w:shd w:val="clear" w:color="auto" w:fill="FFFFFF"/>
        </w:rPr>
        <w:t>:</w:t>
      </w:r>
    </w:p>
    <w:p w14:paraId="4160B662" w14:textId="1C6A5E11" w:rsidR="00DC1E0F" w:rsidRPr="002D5083" w:rsidRDefault="00B84892" w:rsidP="00DC1E0F">
      <w:pPr>
        <w:pStyle w:val="ab"/>
        <w:ind w:right="35" w:firstLine="567"/>
        <w:rPr>
          <w:color w:val="000000" w:themeColor="text1"/>
        </w:rPr>
      </w:pPr>
      <w:r w:rsidRPr="002D5083">
        <w:rPr>
          <w:color w:val="000000" w:themeColor="text1"/>
        </w:rPr>
        <w:t>“</w:t>
      </w:r>
      <w:r w:rsidR="00DC1E0F" w:rsidRPr="002D5083">
        <w:rPr>
          <w:color w:val="000000" w:themeColor="text1"/>
        </w:rPr>
        <w:t>10</w:t>
      </w:r>
      <w:r w:rsidR="00DC1E0F" w:rsidRPr="002D5083">
        <w:rPr>
          <w:rStyle w:val="rvts37"/>
          <w:bCs/>
          <w:color w:val="000000" w:themeColor="text1"/>
          <w:vertAlign w:val="superscript"/>
        </w:rPr>
        <w:t>1</w:t>
      </w:r>
      <w:r w:rsidR="00DC1E0F" w:rsidRPr="002D5083">
        <w:rPr>
          <w:color w:val="000000" w:themeColor="text1"/>
        </w:rPr>
        <w:t xml:space="preserve">. Суб’єкт зобов’язаний надіслати Національному банку України лист у вигляді електронного документа, підписаний керівником та відповідальним працівником Суб’єкта (якщо перевірка містить питання дотримання вимог законодавства з питань фінансового моніторингу), з інформацією про ознайомлення з актом про результати безвиїзного нагляду (далі </w:t>
      </w:r>
      <w:r w:rsidR="00B63AB5" w:rsidRPr="002D5083">
        <w:rPr>
          <w:color w:val="000000" w:themeColor="text1"/>
        </w:rPr>
        <w:t xml:space="preserve">– </w:t>
      </w:r>
      <w:r w:rsidR="00DC1E0F" w:rsidRPr="002D5083">
        <w:rPr>
          <w:color w:val="000000" w:themeColor="text1"/>
        </w:rPr>
        <w:t xml:space="preserve">акт)/довідкою про виїзну перевірку (далі </w:t>
      </w:r>
      <w:r w:rsidR="00B63AB5" w:rsidRPr="002D5083">
        <w:rPr>
          <w:color w:val="000000" w:themeColor="text1"/>
        </w:rPr>
        <w:t>–</w:t>
      </w:r>
      <w:r w:rsidR="00DC1E0F" w:rsidRPr="002D5083">
        <w:rPr>
          <w:color w:val="000000" w:themeColor="text1"/>
        </w:rPr>
        <w:t xml:space="preserve"> довідка).</w:t>
      </w:r>
    </w:p>
    <w:p w14:paraId="433C7CBF" w14:textId="4F0DFDD6" w:rsidR="00DC1E0F" w:rsidRPr="002D5083" w:rsidRDefault="00DC1E0F" w:rsidP="00DC1E0F">
      <w:pPr>
        <w:pStyle w:val="ab"/>
        <w:ind w:firstLine="567"/>
        <w:rPr>
          <w:color w:val="000000" w:themeColor="text1"/>
        </w:rPr>
      </w:pPr>
    </w:p>
    <w:p w14:paraId="752B54CA" w14:textId="77777777" w:rsidR="00DC1E0F" w:rsidRPr="002D5083" w:rsidRDefault="00DC1E0F" w:rsidP="00DC1E0F">
      <w:pPr>
        <w:pStyle w:val="ab"/>
        <w:ind w:right="35" w:firstLine="567"/>
        <w:rPr>
          <w:color w:val="000000" w:themeColor="text1"/>
        </w:rPr>
      </w:pPr>
      <w:r w:rsidRPr="002D5083">
        <w:rPr>
          <w:color w:val="000000" w:themeColor="text1"/>
        </w:rPr>
        <w:t>10</w:t>
      </w:r>
      <w:r w:rsidRPr="002D5083">
        <w:rPr>
          <w:rStyle w:val="rvts37"/>
          <w:bCs/>
          <w:color w:val="000000" w:themeColor="text1"/>
          <w:vertAlign w:val="superscript"/>
        </w:rPr>
        <w:t>2</w:t>
      </w:r>
      <w:r w:rsidRPr="002D5083">
        <w:rPr>
          <w:color w:val="000000" w:themeColor="text1"/>
        </w:rPr>
        <w:t>. Суб’єкт зобов’язаний надіслати лист з інформацією про ознайомлення з:</w:t>
      </w:r>
    </w:p>
    <w:p w14:paraId="6F05312E" w14:textId="77777777" w:rsidR="00DC1E0F" w:rsidRPr="002D5083" w:rsidRDefault="00DC1E0F" w:rsidP="00DC1E0F">
      <w:pPr>
        <w:pStyle w:val="ab"/>
        <w:ind w:right="35" w:firstLine="567"/>
        <w:rPr>
          <w:color w:val="000000" w:themeColor="text1"/>
        </w:rPr>
      </w:pPr>
    </w:p>
    <w:p w14:paraId="1A60B715" w14:textId="1C185741" w:rsidR="00DC1E0F" w:rsidRPr="002D5083" w:rsidRDefault="00DC1E0F" w:rsidP="00DC1E0F">
      <w:pPr>
        <w:pStyle w:val="ab"/>
        <w:ind w:right="35" w:firstLine="567"/>
        <w:rPr>
          <w:color w:val="000000" w:themeColor="text1"/>
        </w:rPr>
      </w:pPr>
      <w:r w:rsidRPr="002D5083">
        <w:rPr>
          <w:color w:val="000000" w:themeColor="text1"/>
        </w:rPr>
        <w:t>1) актом не пізніше ніж на п’ятий робочий день із дня отримання акта у вигляді електронного документа/першого примірника акта в паперовій формі/копії акта в паперовій формі з електронного документа</w:t>
      </w:r>
      <w:r w:rsidR="0074527C">
        <w:rPr>
          <w:color w:val="000000" w:themeColor="text1"/>
        </w:rPr>
        <w:t xml:space="preserve">, </w:t>
      </w:r>
      <w:r w:rsidR="0074527C" w:rsidRPr="002D5083">
        <w:rPr>
          <w:color w:val="000000" w:themeColor="text1"/>
        </w:rPr>
        <w:t>засвідченої в порядку, установленому законодавством України</w:t>
      </w:r>
      <w:r w:rsidRPr="002D5083">
        <w:rPr>
          <w:color w:val="000000" w:themeColor="text1"/>
        </w:rPr>
        <w:t>;</w:t>
      </w:r>
    </w:p>
    <w:p w14:paraId="03548427" w14:textId="77777777" w:rsidR="00DC1E0F" w:rsidRPr="002D5083" w:rsidRDefault="00DC1E0F" w:rsidP="00DC1E0F">
      <w:pPr>
        <w:pStyle w:val="ab"/>
        <w:ind w:right="35" w:firstLine="567"/>
        <w:rPr>
          <w:color w:val="000000" w:themeColor="text1"/>
        </w:rPr>
      </w:pPr>
    </w:p>
    <w:p w14:paraId="0B5C511C" w14:textId="577073BE" w:rsidR="00DC1E0F" w:rsidRPr="002D5083" w:rsidRDefault="00DC1E0F" w:rsidP="00DC1E0F">
      <w:pPr>
        <w:pStyle w:val="ab"/>
        <w:ind w:right="35" w:firstLine="567"/>
        <w:rPr>
          <w:color w:val="000000" w:themeColor="text1"/>
        </w:rPr>
      </w:pPr>
      <w:r w:rsidRPr="002D5083">
        <w:rPr>
          <w:color w:val="000000" w:themeColor="text1"/>
        </w:rPr>
        <w:t>2) довідкою не пізніше ніж на 10 робочий день із дня отримання довідки у вигляді електронного документа/першого примірника довідки в паперовій формі/</w:t>
      </w:r>
      <w:r w:rsidRPr="0074527C">
        <w:rPr>
          <w:color w:val="000000" w:themeColor="text1"/>
        </w:rPr>
        <w:t>копії довідки в паперовій формі з електронного документа</w:t>
      </w:r>
      <w:r w:rsidR="0074527C" w:rsidRPr="0074527C">
        <w:rPr>
          <w:color w:val="000000" w:themeColor="text1"/>
        </w:rPr>
        <w:t>, засвідченої в порядку, установленому законодавством України</w:t>
      </w:r>
      <w:r w:rsidRPr="0074527C">
        <w:rPr>
          <w:color w:val="000000" w:themeColor="text1"/>
        </w:rPr>
        <w:t>.</w:t>
      </w:r>
    </w:p>
    <w:p w14:paraId="66CFDB2C" w14:textId="77777777" w:rsidR="00DC1E0F" w:rsidRPr="002D5083" w:rsidRDefault="00DC1E0F" w:rsidP="00DC1E0F">
      <w:pPr>
        <w:pStyle w:val="ab"/>
        <w:ind w:firstLine="567"/>
        <w:rPr>
          <w:color w:val="000000" w:themeColor="text1"/>
        </w:rPr>
      </w:pPr>
    </w:p>
    <w:p w14:paraId="68F83E5E" w14:textId="34694FEB" w:rsidR="00DC1E0F" w:rsidRPr="002D5083" w:rsidRDefault="00DC1E0F" w:rsidP="00DC1E0F">
      <w:pPr>
        <w:pStyle w:val="ab"/>
        <w:ind w:right="35" w:firstLine="567"/>
        <w:rPr>
          <w:color w:val="000000" w:themeColor="text1"/>
        </w:rPr>
      </w:pPr>
      <w:r w:rsidRPr="002D5083">
        <w:rPr>
          <w:color w:val="000000" w:themeColor="text1"/>
        </w:rPr>
        <w:t>10</w:t>
      </w:r>
      <w:r w:rsidRPr="002D5083">
        <w:rPr>
          <w:rStyle w:val="rvts37"/>
          <w:bCs/>
          <w:color w:val="000000" w:themeColor="text1"/>
          <w:vertAlign w:val="superscript"/>
        </w:rPr>
        <w:t>3</w:t>
      </w:r>
      <w:r w:rsidRPr="002D5083">
        <w:rPr>
          <w:color w:val="000000" w:themeColor="text1"/>
        </w:rPr>
        <w:t>. Акт вважається доведеним до відома Суб’єкта або отриманим Суб’єктом і таким, що не має пояснень та заперечень, у разі настання одного, кількох або всіх випадків:</w:t>
      </w:r>
    </w:p>
    <w:p w14:paraId="1B485856" w14:textId="77777777" w:rsidR="00DC1E0F" w:rsidRPr="002D5083" w:rsidRDefault="00DC1E0F" w:rsidP="00DC1E0F">
      <w:pPr>
        <w:pStyle w:val="ab"/>
        <w:ind w:right="35" w:firstLine="567"/>
        <w:rPr>
          <w:color w:val="000000" w:themeColor="text1"/>
        </w:rPr>
      </w:pPr>
    </w:p>
    <w:p w14:paraId="167D8FFE" w14:textId="671C1FA6" w:rsidR="00DC1E0F" w:rsidRPr="002D5083" w:rsidRDefault="00DC1E0F" w:rsidP="00DC1E0F">
      <w:pPr>
        <w:pStyle w:val="ab"/>
        <w:ind w:right="35" w:firstLine="567"/>
        <w:rPr>
          <w:color w:val="000000" w:themeColor="text1"/>
        </w:rPr>
      </w:pPr>
      <w:r w:rsidRPr="002D5083">
        <w:rPr>
          <w:color w:val="000000" w:themeColor="text1"/>
        </w:rPr>
        <w:t xml:space="preserve">1) неотримання Суб’єктом із незалежних від Національного банку України причин акта протягом п’яти робочих днів із дня надсилання акта у вигляді електронного документа або семи робочих днів із дня надсилання першого примірника </w:t>
      </w:r>
      <w:proofErr w:type="spellStart"/>
      <w:r w:rsidRPr="002D5083">
        <w:rPr>
          <w:color w:val="000000" w:themeColor="text1"/>
        </w:rPr>
        <w:t>акта</w:t>
      </w:r>
      <w:proofErr w:type="spellEnd"/>
      <w:r w:rsidRPr="002D5083">
        <w:rPr>
          <w:color w:val="000000" w:themeColor="text1"/>
        </w:rPr>
        <w:t xml:space="preserve"> в паперовій формі/копії </w:t>
      </w:r>
      <w:proofErr w:type="spellStart"/>
      <w:r w:rsidRPr="002D5083">
        <w:rPr>
          <w:color w:val="000000" w:themeColor="text1"/>
        </w:rPr>
        <w:t>акта</w:t>
      </w:r>
      <w:proofErr w:type="spellEnd"/>
      <w:r w:rsidRPr="002D5083">
        <w:rPr>
          <w:color w:val="000000" w:themeColor="text1"/>
        </w:rPr>
        <w:t xml:space="preserve"> в паперовій формі з електронного документа</w:t>
      </w:r>
      <w:r w:rsidR="00BA7E70">
        <w:rPr>
          <w:color w:val="000000" w:themeColor="text1"/>
        </w:rPr>
        <w:t>,</w:t>
      </w:r>
      <w:r w:rsidR="00BA7E70" w:rsidRPr="00BA7E70">
        <w:rPr>
          <w:color w:val="000000" w:themeColor="text1"/>
        </w:rPr>
        <w:t xml:space="preserve"> </w:t>
      </w:r>
      <w:r w:rsidR="00BA7E70" w:rsidRPr="002D5083">
        <w:rPr>
          <w:color w:val="000000" w:themeColor="text1"/>
        </w:rPr>
        <w:t>засвідченої в порядку, установленому законодавством України</w:t>
      </w:r>
      <w:r w:rsidRPr="002D5083">
        <w:rPr>
          <w:color w:val="000000" w:themeColor="text1"/>
        </w:rPr>
        <w:t>;</w:t>
      </w:r>
    </w:p>
    <w:p w14:paraId="38334F4F" w14:textId="77777777" w:rsidR="00DC1E0F" w:rsidRPr="002D5083" w:rsidRDefault="00DC1E0F" w:rsidP="00DC1E0F">
      <w:pPr>
        <w:pStyle w:val="ab"/>
        <w:ind w:right="35" w:firstLine="567"/>
        <w:rPr>
          <w:color w:val="000000" w:themeColor="text1"/>
        </w:rPr>
      </w:pPr>
    </w:p>
    <w:p w14:paraId="6A09AFB4" w14:textId="300B2FBE" w:rsidR="00DC1E0F" w:rsidRPr="002D5083" w:rsidRDefault="00DC1E0F" w:rsidP="00DC1E0F">
      <w:pPr>
        <w:pStyle w:val="ab"/>
        <w:ind w:right="35" w:firstLine="567"/>
        <w:rPr>
          <w:color w:val="000000" w:themeColor="text1"/>
        </w:rPr>
      </w:pPr>
      <w:r w:rsidRPr="002D5083">
        <w:rPr>
          <w:color w:val="000000" w:themeColor="text1"/>
        </w:rPr>
        <w:t>2) отримання від Суб’єкта листа з інформацією про ознайомлення з актом, що не відповідає вимогам пункту 10</w:t>
      </w:r>
      <w:r w:rsidRPr="002D5083">
        <w:rPr>
          <w:rStyle w:val="rvts37"/>
          <w:bCs/>
          <w:color w:val="000000" w:themeColor="text1"/>
          <w:vertAlign w:val="superscript"/>
        </w:rPr>
        <w:t xml:space="preserve">1 </w:t>
      </w:r>
      <w:r w:rsidRPr="002D5083">
        <w:rPr>
          <w:color w:val="000000" w:themeColor="text1"/>
        </w:rPr>
        <w:t>та підпункту 1 пункту 10</w:t>
      </w:r>
      <w:r w:rsidRPr="002D5083">
        <w:rPr>
          <w:rStyle w:val="rvts37"/>
          <w:bCs/>
          <w:color w:val="000000" w:themeColor="text1"/>
          <w:vertAlign w:val="superscript"/>
        </w:rPr>
        <w:t>2</w:t>
      </w:r>
      <w:r w:rsidRPr="002D5083">
        <w:rPr>
          <w:color w:val="000000" w:themeColor="text1"/>
        </w:rPr>
        <w:t> цієї постанови;</w:t>
      </w:r>
    </w:p>
    <w:p w14:paraId="319A2120" w14:textId="77777777" w:rsidR="00DC1E0F" w:rsidRPr="002D5083" w:rsidRDefault="00DC1E0F" w:rsidP="00DC1E0F">
      <w:pPr>
        <w:pStyle w:val="ab"/>
        <w:ind w:right="35" w:firstLine="567"/>
        <w:rPr>
          <w:color w:val="000000" w:themeColor="text1"/>
        </w:rPr>
      </w:pPr>
    </w:p>
    <w:p w14:paraId="10A68195" w14:textId="34FDB638" w:rsidR="00DC1E0F" w:rsidRPr="002D5083" w:rsidRDefault="00DC1E0F" w:rsidP="00DC1E0F">
      <w:pPr>
        <w:pStyle w:val="ab"/>
        <w:ind w:right="35" w:firstLine="567"/>
        <w:rPr>
          <w:color w:val="000000" w:themeColor="text1"/>
        </w:rPr>
      </w:pPr>
      <w:r w:rsidRPr="002D5083">
        <w:rPr>
          <w:color w:val="000000" w:themeColor="text1"/>
        </w:rPr>
        <w:t xml:space="preserve">3) </w:t>
      </w:r>
      <w:r w:rsidRPr="00C30EAA">
        <w:rPr>
          <w:color w:val="000000" w:themeColor="text1"/>
        </w:rPr>
        <w:t>ненадання пояснень/заперечень до акта в порядку, визначен</w:t>
      </w:r>
      <w:r w:rsidR="00C30EAA" w:rsidRPr="00C30EAA">
        <w:rPr>
          <w:color w:val="000000" w:themeColor="text1"/>
        </w:rPr>
        <w:t>ому</w:t>
      </w:r>
      <w:r w:rsidRPr="00C30EAA">
        <w:rPr>
          <w:color w:val="000000" w:themeColor="text1"/>
        </w:rPr>
        <w:t xml:space="preserve"> в підпункті 1 пункту 10</w:t>
      </w:r>
      <w:r w:rsidRPr="00C30EAA">
        <w:rPr>
          <w:rStyle w:val="rvts37"/>
          <w:bCs/>
          <w:color w:val="000000" w:themeColor="text1"/>
          <w:vertAlign w:val="superscript"/>
        </w:rPr>
        <w:t>7</w:t>
      </w:r>
      <w:r w:rsidRPr="00C30EAA">
        <w:rPr>
          <w:color w:val="000000" w:themeColor="text1"/>
        </w:rPr>
        <w:t> цієї постанови</w:t>
      </w:r>
      <w:r w:rsidR="00C30EAA" w:rsidRPr="00C30EAA">
        <w:rPr>
          <w:color w:val="000000" w:themeColor="text1"/>
        </w:rPr>
        <w:t xml:space="preserve">, та строки, установлені в </w:t>
      </w:r>
      <w:r w:rsidR="00C30EAA" w:rsidRPr="00C30EAA">
        <w:rPr>
          <w:color w:val="000000" w:themeColor="text1"/>
          <w:shd w:val="clear" w:color="auto" w:fill="FFFFFF"/>
        </w:rPr>
        <w:t>підпункті 1 пункту 10</w:t>
      </w:r>
      <w:r w:rsidR="00C30EAA" w:rsidRPr="00C30EAA">
        <w:rPr>
          <w:rStyle w:val="rvts37"/>
          <w:bCs/>
          <w:color w:val="000000" w:themeColor="text1"/>
          <w:shd w:val="clear" w:color="auto" w:fill="FFFFFF"/>
          <w:vertAlign w:val="superscript"/>
        </w:rPr>
        <w:t>2</w:t>
      </w:r>
      <w:r w:rsidR="00C30EAA" w:rsidRPr="00C30EAA">
        <w:rPr>
          <w:color w:val="000000" w:themeColor="text1"/>
          <w:shd w:val="clear" w:color="auto" w:fill="FFFFFF"/>
        </w:rPr>
        <w:t> цієї постанови</w:t>
      </w:r>
      <w:r w:rsidRPr="00C30EAA">
        <w:rPr>
          <w:color w:val="000000" w:themeColor="text1"/>
        </w:rPr>
        <w:t>.</w:t>
      </w:r>
    </w:p>
    <w:p w14:paraId="49C8B222" w14:textId="77777777" w:rsidR="00DC1E0F" w:rsidRPr="002D5083" w:rsidRDefault="00DC1E0F" w:rsidP="00DC1E0F">
      <w:pPr>
        <w:pStyle w:val="ab"/>
        <w:ind w:firstLine="567"/>
        <w:rPr>
          <w:color w:val="000000" w:themeColor="text1"/>
        </w:rPr>
      </w:pPr>
    </w:p>
    <w:p w14:paraId="36E8A7F4" w14:textId="43112B16" w:rsidR="00DC1E0F" w:rsidRPr="002D5083" w:rsidRDefault="00DC1E0F" w:rsidP="00DC1E0F">
      <w:pPr>
        <w:pStyle w:val="ab"/>
        <w:ind w:right="35" w:firstLine="567"/>
        <w:rPr>
          <w:color w:val="000000" w:themeColor="text1"/>
        </w:rPr>
      </w:pPr>
      <w:r w:rsidRPr="002D5083">
        <w:rPr>
          <w:color w:val="000000" w:themeColor="text1"/>
        </w:rPr>
        <w:t>10</w:t>
      </w:r>
      <w:r w:rsidRPr="002D5083">
        <w:rPr>
          <w:rStyle w:val="rvts37"/>
          <w:bCs/>
          <w:color w:val="000000" w:themeColor="text1"/>
          <w:vertAlign w:val="superscript"/>
        </w:rPr>
        <w:t>4</w:t>
      </w:r>
      <w:r w:rsidRPr="002D5083">
        <w:rPr>
          <w:color w:val="000000" w:themeColor="text1"/>
        </w:rPr>
        <w:t xml:space="preserve">. Акт у вигляді електронного документа/другий примірник акта в паперовій формі, що залишився в Національного банку України, є підставою для прийняття ним відповідних рішень у межах повноважень у випадках, визначених </w:t>
      </w:r>
      <w:r w:rsidRPr="00C30EAA">
        <w:rPr>
          <w:color w:val="000000" w:themeColor="text1"/>
        </w:rPr>
        <w:t xml:space="preserve">у </w:t>
      </w:r>
      <w:r w:rsidR="00C30EAA" w:rsidRPr="00C30EAA">
        <w:rPr>
          <w:color w:val="000000" w:themeColor="text1"/>
        </w:rPr>
        <w:t xml:space="preserve">пункті </w:t>
      </w:r>
      <w:r w:rsidRPr="00C30EAA">
        <w:rPr>
          <w:color w:val="000000" w:themeColor="text1"/>
        </w:rPr>
        <w:t>10</w:t>
      </w:r>
      <w:r w:rsidRPr="00C30EAA">
        <w:rPr>
          <w:rStyle w:val="rvts37"/>
          <w:bCs/>
          <w:color w:val="000000" w:themeColor="text1"/>
          <w:vertAlign w:val="superscript"/>
        </w:rPr>
        <w:t xml:space="preserve">3 </w:t>
      </w:r>
      <w:r w:rsidRPr="00C30EAA">
        <w:rPr>
          <w:color w:val="000000" w:themeColor="text1"/>
        </w:rPr>
        <w:t>цієї постанови.</w:t>
      </w:r>
    </w:p>
    <w:p w14:paraId="54A6662D" w14:textId="790C7353" w:rsidR="00DC1E0F" w:rsidRPr="002D5083" w:rsidRDefault="00DC1E0F" w:rsidP="00DC1E0F">
      <w:pPr>
        <w:pStyle w:val="ab"/>
        <w:ind w:firstLine="567"/>
        <w:rPr>
          <w:color w:val="000000" w:themeColor="text1"/>
        </w:rPr>
      </w:pPr>
    </w:p>
    <w:p w14:paraId="03D5E221" w14:textId="65A8A37E" w:rsidR="00DC1E0F" w:rsidRPr="002D5083" w:rsidRDefault="00DC1E0F" w:rsidP="00DC1E0F">
      <w:pPr>
        <w:pStyle w:val="ab"/>
        <w:ind w:right="35" w:firstLine="567"/>
        <w:rPr>
          <w:color w:val="000000" w:themeColor="text1"/>
        </w:rPr>
      </w:pPr>
      <w:r w:rsidRPr="002D5083">
        <w:rPr>
          <w:color w:val="000000" w:themeColor="text1"/>
        </w:rPr>
        <w:t>10</w:t>
      </w:r>
      <w:r w:rsidRPr="002D5083">
        <w:rPr>
          <w:rStyle w:val="rvts37"/>
          <w:bCs/>
          <w:color w:val="000000" w:themeColor="text1"/>
          <w:vertAlign w:val="superscript"/>
        </w:rPr>
        <w:t>5</w:t>
      </w:r>
      <w:r w:rsidRPr="002D5083">
        <w:rPr>
          <w:color w:val="000000" w:themeColor="text1"/>
        </w:rPr>
        <w:t>. Довідка про виїзну перевірку вважається доведеною до відома Суб’єкта або отриманою Суб</w:t>
      </w:r>
      <w:r w:rsidRPr="002D5083">
        <w:rPr>
          <w:color w:val="000000" w:themeColor="text1"/>
          <w:lang w:val="ru-RU"/>
        </w:rPr>
        <w:t xml:space="preserve">’єктом </w:t>
      </w:r>
      <w:r w:rsidRPr="002D5083">
        <w:rPr>
          <w:color w:val="000000" w:themeColor="text1"/>
        </w:rPr>
        <w:t>і такою, що не має пояснень та заперечень, у разі настання одного, кількох або всіх випадків:</w:t>
      </w:r>
    </w:p>
    <w:p w14:paraId="18A1344F" w14:textId="77777777" w:rsidR="00DC1E0F" w:rsidRPr="002D5083" w:rsidRDefault="00DC1E0F" w:rsidP="00DC1E0F">
      <w:pPr>
        <w:pStyle w:val="ab"/>
        <w:ind w:right="35" w:firstLine="567"/>
        <w:rPr>
          <w:color w:val="000000" w:themeColor="text1"/>
        </w:rPr>
      </w:pPr>
    </w:p>
    <w:p w14:paraId="3F50B965" w14:textId="540884FA" w:rsidR="00DC1E0F" w:rsidRPr="002D5083" w:rsidRDefault="00DC1E0F" w:rsidP="00DC1E0F">
      <w:pPr>
        <w:pStyle w:val="ab"/>
        <w:ind w:right="35" w:firstLine="567"/>
        <w:rPr>
          <w:color w:val="000000" w:themeColor="text1"/>
        </w:rPr>
      </w:pPr>
      <w:r w:rsidRPr="002D5083">
        <w:rPr>
          <w:color w:val="000000" w:themeColor="text1"/>
        </w:rPr>
        <w:t>1) неотримання Суб’єктом із незалежних від Національного банку України причин довідки протягом 10 робочих днів із дня надсилання довідки у вигляді електронного документа або 15 робочих днів із дня надсилання першого примірника довідки в паперовій формі/копії довідки в паперовій формі з електронного документа</w:t>
      </w:r>
      <w:r w:rsidR="00F31DC5">
        <w:rPr>
          <w:color w:val="000000" w:themeColor="text1"/>
        </w:rPr>
        <w:t xml:space="preserve">, </w:t>
      </w:r>
      <w:r w:rsidR="00F31DC5" w:rsidRPr="002D5083">
        <w:rPr>
          <w:color w:val="000000" w:themeColor="text1"/>
        </w:rPr>
        <w:t>засвідченої в порядку, установленому законодавством України</w:t>
      </w:r>
      <w:r w:rsidRPr="002D5083">
        <w:rPr>
          <w:color w:val="000000" w:themeColor="text1"/>
        </w:rPr>
        <w:t xml:space="preserve">; </w:t>
      </w:r>
    </w:p>
    <w:p w14:paraId="4B0D27CB" w14:textId="77777777" w:rsidR="00DC1E0F" w:rsidRPr="002D5083" w:rsidRDefault="00DC1E0F" w:rsidP="00DC1E0F">
      <w:pPr>
        <w:pStyle w:val="ab"/>
        <w:ind w:right="35" w:firstLine="567"/>
        <w:rPr>
          <w:color w:val="000000" w:themeColor="text1"/>
        </w:rPr>
      </w:pPr>
    </w:p>
    <w:p w14:paraId="16E53461" w14:textId="5F77BB92" w:rsidR="00DC1E0F" w:rsidRPr="002D5083" w:rsidRDefault="00DC1E0F" w:rsidP="00DC1E0F">
      <w:pPr>
        <w:pStyle w:val="ab"/>
        <w:ind w:right="35" w:firstLine="567"/>
        <w:rPr>
          <w:strike/>
          <w:color w:val="000000" w:themeColor="text1"/>
        </w:rPr>
      </w:pPr>
      <w:r w:rsidRPr="002D5083">
        <w:rPr>
          <w:color w:val="000000" w:themeColor="text1"/>
        </w:rPr>
        <w:t>2) отримання від Суб’єкта листа з інформацією про ознайомлення з довідкою, що не відповідає вимогам пункту 10</w:t>
      </w:r>
      <w:r w:rsidRPr="002D5083">
        <w:rPr>
          <w:rStyle w:val="rvts37"/>
          <w:bCs/>
          <w:color w:val="000000" w:themeColor="text1"/>
          <w:vertAlign w:val="superscript"/>
        </w:rPr>
        <w:t xml:space="preserve">1 </w:t>
      </w:r>
      <w:r w:rsidRPr="002D5083">
        <w:rPr>
          <w:color w:val="000000" w:themeColor="text1"/>
        </w:rPr>
        <w:t>та підпункту 2 пункту 10</w:t>
      </w:r>
      <w:r w:rsidRPr="002D5083">
        <w:rPr>
          <w:rStyle w:val="rvts37"/>
          <w:bCs/>
          <w:color w:val="000000" w:themeColor="text1"/>
          <w:vertAlign w:val="superscript"/>
        </w:rPr>
        <w:t>2</w:t>
      </w:r>
      <w:r w:rsidRPr="002D5083">
        <w:rPr>
          <w:color w:val="000000" w:themeColor="text1"/>
        </w:rPr>
        <w:t> цієї постанови;</w:t>
      </w:r>
      <w:r w:rsidRPr="002D5083">
        <w:rPr>
          <w:strike/>
          <w:color w:val="000000" w:themeColor="text1"/>
        </w:rPr>
        <w:t xml:space="preserve"> </w:t>
      </w:r>
    </w:p>
    <w:p w14:paraId="0191EB13" w14:textId="77777777" w:rsidR="00DC1E0F" w:rsidRPr="002D5083" w:rsidRDefault="00DC1E0F" w:rsidP="00DC1E0F">
      <w:pPr>
        <w:pStyle w:val="ab"/>
        <w:ind w:right="35" w:firstLine="567"/>
        <w:rPr>
          <w:color w:val="000000" w:themeColor="text1"/>
        </w:rPr>
      </w:pPr>
    </w:p>
    <w:p w14:paraId="221EE6B6" w14:textId="74C76EF0" w:rsidR="00C30EAA" w:rsidRPr="002D5083" w:rsidRDefault="00DC1E0F" w:rsidP="00C30EAA">
      <w:pPr>
        <w:pStyle w:val="ab"/>
        <w:ind w:right="35" w:firstLine="567"/>
        <w:rPr>
          <w:color w:val="000000" w:themeColor="text1"/>
        </w:rPr>
      </w:pPr>
      <w:r w:rsidRPr="002D5083">
        <w:rPr>
          <w:color w:val="000000" w:themeColor="text1"/>
        </w:rPr>
        <w:t>3) ненадання пояснень/обґрунтованих заперечень до довідки в порядку</w:t>
      </w:r>
      <w:r w:rsidR="00C30EAA">
        <w:rPr>
          <w:color w:val="000000" w:themeColor="text1"/>
        </w:rPr>
        <w:t xml:space="preserve">, </w:t>
      </w:r>
      <w:r w:rsidRPr="002D5083">
        <w:rPr>
          <w:color w:val="000000" w:themeColor="text1"/>
        </w:rPr>
        <w:t>визначен</w:t>
      </w:r>
      <w:r w:rsidR="00C30EAA">
        <w:rPr>
          <w:color w:val="000000" w:themeColor="text1"/>
        </w:rPr>
        <w:t>ому</w:t>
      </w:r>
      <w:r w:rsidRPr="002D5083">
        <w:rPr>
          <w:color w:val="000000" w:themeColor="text1"/>
        </w:rPr>
        <w:t xml:space="preserve"> в підпункті 2 пункту 10</w:t>
      </w:r>
      <w:r w:rsidRPr="002D5083">
        <w:rPr>
          <w:rStyle w:val="rvts37"/>
          <w:bCs/>
          <w:color w:val="000000" w:themeColor="text1"/>
          <w:vertAlign w:val="superscript"/>
        </w:rPr>
        <w:t>7</w:t>
      </w:r>
      <w:r w:rsidRPr="002D5083">
        <w:rPr>
          <w:color w:val="000000" w:themeColor="text1"/>
        </w:rPr>
        <w:t> цієї постанови</w:t>
      </w:r>
      <w:r w:rsidR="00C30EAA">
        <w:rPr>
          <w:color w:val="000000" w:themeColor="text1"/>
        </w:rPr>
        <w:t>, та строки, установлені в підпункті 2</w:t>
      </w:r>
      <w:r w:rsidR="00C30EAA" w:rsidRPr="00C30EAA">
        <w:rPr>
          <w:color w:val="000000" w:themeColor="text1"/>
          <w:shd w:val="clear" w:color="auto" w:fill="FFFFFF"/>
        </w:rPr>
        <w:t xml:space="preserve"> пункту 10</w:t>
      </w:r>
      <w:r w:rsidR="00C30EAA" w:rsidRPr="00C30EAA">
        <w:rPr>
          <w:rStyle w:val="rvts37"/>
          <w:bCs/>
          <w:color w:val="000000" w:themeColor="text1"/>
          <w:shd w:val="clear" w:color="auto" w:fill="FFFFFF"/>
          <w:vertAlign w:val="superscript"/>
        </w:rPr>
        <w:t>2</w:t>
      </w:r>
      <w:r w:rsidR="00C30EAA" w:rsidRPr="00C30EAA">
        <w:rPr>
          <w:color w:val="000000" w:themeColor="text1"/>
          <w:shd w:val="clear" w:color="auto" w:fill="FFFFFF"/>
        </w:rPr>
        <w:t> цієї постанови</w:t>
      </w:r>
      <w:r w:rsidR="00C30EAA" w:rsidRPr="00C30EAA">
        <w:rPr>
          <w:color w:val="000000" w:themeColor="text1"/>
        </w:rPr>
        <w:t>.</w:t>
      </w:r>
    </w:p>
    <w:p w14:paraId="6DB12286" w14:textId="3F7C75A6" w:rsidR="00DC1E0F" w:rsidRPr="002D5083" w:rsidRDefault="00DC1E0F" w:rsidP="008527F0">
      <w:pPr>
        <w:pStyle w:val="ab"/>
        <w:ind w:firstLine="567"/>
        <w:rPr>
          <w:color w:val="000000" w:themeColor="text1"/>
          <w:lang w:val="ru-RU"/>
        </w:rPr>
      </w:pPr>
    </w:p>
    <w:p w14:paraId="58994313" w14:textId="288C8227" w:rsidR="00DC1E0F" w:rsidRPr="002D5083" w:rsidRDefault="00DC1E0F" w:rsidP="008527F0">
      <w:pPr>
        <w:pStyle w:val="ab"/>
        <w:ind w:right="35" w:firstLine="567"/>
        <w:rPr>
          <w:color w:val="000000" w:themeColor="text1"/>
        </w:rPr>
      </w:pPr>
      <w:r w:rsidRPr="002D5083">
        <w:rPr>
          <w:color w:val="000000" w:themeColor="text1"/>
        </w:rPr>
        <w:t>10</w:t>
      </w:r>
      <w:r w:rsidRPr="002D5083">
        <w:rPr>
          <w:rStyle w:val="rvts37"/>
          <w:bCs/>
          <w:color w:val="000000" w:themeColor="text1"/>
          <w:vertAlign w:val="superscript"/>
        </w:rPr>
        <w:t>6</w:t>
      </w:r>
      <w:r w:rsidRPr="002D5083">
        <w:rPr>
          <w:color w:val="000000" w:themeColor="text1"/>
        </w:rPr>
        <w:t xml:space="preserve">. Довідка у вигляді електронного документа/другий примірник довідки в паперовій формі, що залишився в Національного банку України, є підставою для прийняття ним відповідних рішень у межах повноважень у випадках, визначених у </w:t>
      </w:r>
      <w:r w:rsidRPr="00D745E9">
        <w:rPr>
          <w:color w:val="000000" w:themeColor="text1"/>
        </w:rPr>
        <w:t>пункт</w:t>
      </w:r>
      <w:r w:rsidR="00D745E9" w:rsidRPr="00D745E9">
        <w:rPr>
          <w:color w:val="000000" w:themeColor="text1"/>
        </w:rPr>
        <w:t>і</w:t>
      </w:r>
      <w:r w:rsidRPr="00D745E9">
        <w:rPr>
          <w:color w:val="000000" w:themeColor="text1"/>
        </w:rPr>
        <w:t xml:space="preserve"> 10</w:t>
      </w:r>
      <w:r w:rsidRPr="00D745E9">
        <w:rPr>
          <w:rStyle w:val="rvts37"/>
          <w:bCs/>
          <w:color w:val="000000" w:themeColor="text1"/>
          <w:vertAlign w:val="superscript"/>
        </w:rPr>
        <w:t>5</w:t>
      </w:r>
      <w:r w:rsidRPr="00D745E9">
        <w:rPr>
          <w:color w:val="000000" w:themeColor="text1"/>
        </w:rPr>
        <w:t> цієї</w:t>
      </w:r>
      <w:r w:rsidRPr="002D5083">
        <w:rPr>
          <w:color w:val="000000" w:themeColor="text1"/>
        </w:rPr>
        <w:t xml:space="preserve"> постанови.</w:t>
      </w:r>
    </w:p>
    <w:p w14:paraId="5600D41D" w14:textId="77777777" w:rsidR="008527F0" w:rsidRPr="002D5083" w:rsidRDefault="008527F0" w:rsidP="008527F0">
      <w:pPr>
        <w:ind w:firstLine="567"/>
        <w:rPr>
          <w:color w:val="000000" w:themeColor="text1"/>
          <w:shd w:val="clear" w:color="auto" w:fill="FFFFFF"/>
        </w:rPr>
      </w:pPr>
    </w:p>
    <w:p w14:paraId="7D0234B0" w14:textId="08699835" w:rsidR="008527F0" w:rsidRPr="002D5083" w:rsidRDefault="008527F0" w:rsidP="008527F0">
      <w:pPr>
        <w:ind w:firstLine="567"/>
        <w:rPr>
          <w:color w:val="000000" w:themeColor="text1"/>
          <w:shd w:val="clear" w:color="auto" w:fill="FFFFFF"/>
        </w:rPr>
      </w:pPr>
      <w:r w:rsidRPr="002D5083">
        <w:rPr>
          <w:color w:val="000000" w:themeColor="text1"/>
          <w:shd w:val="clear" w:color="auto" w:fill="FFFFFF"/>
        </w:rPr>
        <w:t>10</w:t>
      </w:r>
      <w:r w:rsidRPr="002D5083">
        <w:rPr>
          <w:rStyle w:val="rvts37"/>
          <w:bCs/>
          <w:color w:val="000000" w:themeColor="text1"/>
          <w:shd w:val="clear" w:color="auto" w:fill="FFFFFF"/>
          <w:vertAlign w:val="superscript"/>
        </w:rPr>
        <w:t>7</w:t>
      </w:r>
      <w:r w:rsidRPr="002D5083">
        <w:rPr>
          <w:color w:val="000000" w:themeColor="text1"/>
          <w:shd w:val="clear" w:color="auto" w:fill="FFFFFF"/>
        </w:rPr>
        <w:t>. Суб’єкт має право надати Національному банку України разом із листом з інформацією про ознайомлення з:</w:t>
      </w:r>
    </w:p>
    <w:p w14:paraId="2814A78B" w14:textId="77777777" w:rsidR="008527F0" w:rsidRPr="002D5083" w:rsidRDefault="008527F0" w:rsidP="008527F0">
      <w:pPr>
        <w:ind w:firstLine="567"/>
        <w:rPr>
          <w:color w:val="000000" w:themeColor="text1"/>
          <w:shd w:val="clear" w:color="auto" w:fill="FFFFFF"/>
        </w:rPr>
      </w:pPr>
    </w:p>
    <w:p w14:paraId="58AC4483" w14:textId="6775AA57" w:rsidR="008527F0" w:rsidRPr="002D5083" w:rsidRDefault="008527F0" w:rsidP="008527F0">
      <w:pPr>
        <w:ind w:firstLine="567"/>
        <w:rPr>
          <w:color w:val="000000" w:themeColor="text1"/>
          <w:shd w:val="clear" w:color="auto" w:fill="FFFFFF"/>
        </w:rPr>
      </w:pPr>
      <w:r w:rsidRPr="002D5083">
        <w:rPr>
          <w:color w:val="000000" w:themeColor="text1"/>
          <w:shd w:val="clear" w:color="auto" w:fill="FFFFFF"/>
        </w:rPr>
        <w:t>1) актом протягом строку, установленого в підпункті 1 пункту 10</w:t>
      </w:r>
      <w:r w:rsidRPr="002D5083">
        <w:rPr>
          <w:rStyle w:val="rvts37"/>
          <w:bCs/>
          <w:color w:val="000000" w:themeColor="text1"/>
          <w:shd w:val="clear" w:color="auto" w:fill="FFFFFF"/>
          <w:vertAlign w:val="superscript"/>
        </w:rPr>
        <w:t>2</w:t>
      </w:r>
      <w:r w:rsidRPr="002D5083">
        <w:rPr>
          <w:color w:val="000000" w:themeColor="text1"/>
          <w:shd w:val="clear" w:color="auto" w:fill="FFFFFF"/>
        </w:rPr>
        <w:t> цієї постанови, пояснення, обґрунтовані заперечення щодо обставин, фактів і висновків, викладених в акті, з доданням підтвердних документів, інформації;</w:t>
      </w:r>
    </w:p>
    <w:p w14:paraId="239A46BD" w14:textId="77777777" w:rsidR="008527F0" w:rsidRPr="002D5083" w:rsidRDefault="008527F0" w:rsidP="008527F0">
      <w:pPr>
        <w:pStyle w:val="ab"/>
        <w:ind w:firstLine="567"/>
        <w:rPr>
          <w:color w:val="000000" w:themeColor="text1"/>
          <w:shd w:val="clear" w:color="auto" w:fill="FFFFFF"/>
        </w:rPr>
      </w:pPr>
    </w:p>
    <w:p w14:paraId="75DAC725" w14:textId="28FEC66E" w:rsidR="00DC1E0F" w:rsidRPr="002D5083" w:rsidRDefault="008527F0" w:rsidP="00DC1E0F">
      <w:pPr>
        <w:pStyle w:val="ab"/>
        <w:ind w:firstLine="567"/>
        <w:rPr>
          <w:color w:val="000000" w:themeColor="text1"/>
          <w:shd w:val="clear" w:color="auto" w:fill="FFFFFF"/>
        </w:rPr>
      </w:pPr>
      <w:r w:rsidRPr="002D5083">
        <w:rPr>
          <w:color w:val="000000" w:themeColor="text1"/>
          <w:shd w:val="clear" w:color="auto" w:fill="FFFFFF"/>
        </w:rPr>
        <w:t>2) довідкою протягом строку, установленого в підпункті 2 пункту 10</w:t>
      </w:r>
      <w:r w:rsidRPr="002D5083">
        <w:rPr>
          <w:rStyle w:val="rvts37"/>
          <w:bCs/>
          <w:color w:val="000000" w:themeColor="text1"/>
          <w:shd w:val="clear" w:color="auto" w:fill="FFFFFF"/>
          <w:vertAlign w:val="superscript"/>
        </w:rPr>
        <w:t>2</w:t>
      </w:r>
      <w:r w:rsidRPr="002D5083">
        <w:rPr>
          <w:color w:val="000000" w:themeColor="text1"/>
          <w:shd w:val="clear" w:color="auto" w:fill="FFFFFF"/>
        </w:rPr>
        <w:t> цієї постанови, пояснення, обґрунтовані заперечення щодо обставин, фактів і висновків, викладених у довідці, з доданням підтвердних документів, інформації.</w:t>
      </w:r>
      <w:r w:rsidR="00752514" w:rsidRPr="002D5083">
        <w:rPr>
          <w:color w:val="000000" w:themeColor="text1"/>
          <w:shd w:val="clear" w:color="auto" w:fill="FFFFFF"/>
        </w:rPr>
        <w:t>”;</w:t>
      </w:r>
    </w:p>
    <w:p w14:paraId="510F411A" w14:textId="77777777" w:rsidR="00752514" w:rsidRPr="002D5083" w:rsidRDefault="00752514" w:rsidP="00DC1E0F">
      <w:pPr>
        <w:pStyle w:val="ab"/>
        <w:ind w:firstLine="567"/>
        <w:rPr>
          <w:color w:val="000000" w:themeColor="text1"/>
        </w:rPr>
      </w:pPr>
    </w:p>
    <w:p w14:paraId="7C990A3F" w14:textId="7B44B330" w:rsidR="00201613" w:rsidRPr="002D5083" w:rsidRDefault="006F7507" w:rsidP="00045A97">
      <w:pPr>
        <w:ind w:firstLine="567"/>
        <w:rPr>
          <w:color w:val="000000" w:themeColor="text1"/>
          <w:shd w:val="clear" w:color="auto" w:fill="FFFFFF"/>
          <w:lang w:val="ru-RU"/>
        </w:rPr>
      </w:pPr>
      <w:r w:rsidRPr="002D5083">
        <w:rPr>
          <w:color w:val="000000" w:themeColor="text1"/>
          <w:shd w:val="clear" w:color="auto" w:fill="FFFFFF"/>
        </w:rPr>
        <w:t>7</w:t>
      </w:r>
      <w:r w:rsidR="00B4147F" w:rsidRPr="002D5083">
        <w:rPr>
          <w:color w:val="000000" w:themeColor="text1"/>
          <w:shd w:val="clear" w:color="auto" w:fill="FFFFFF"/>
        </w:rPr>
        <w:t xml:space="preserve">) </w:t>
      </w:r>
      <w:r w:rsidR="00C22AB7" w:rsidRPr="002D5083">
        <w:rPr>
          <w:color w:val="000000" w:themeColor="text1"/>
          <w:shd w:val="clear" w:color="auto" w:fill="FFFFFF"/>
        </w:rPr>
        <w:t xml:space="preserve">в абзаці першому </w:t>
      </w:r>
      <w:r w:rsidR="00B4147F" w:rsidRPr="002D5083">
        <w:rPr>
          <w:color w:val="000000" w:themeColor="text1"/>
          <w:shd w:val="clear" w:color="auto" w:fill="FFFFFF"/>
        </w:rPr>
        <w:t>пункт</w:t>
      </w:r>
      <w:r w:rsidR="00C22AB7" w:rsidRPr="002D5083">
        <w:rPr>
          <w:color w:val="000000" w:themeColor="text1"/>
          <w:shd w:val="clear" w:color="auto" w:fill="FFFFFF"/>
        </w:rPr>
        <w:t>у</w:t>
      </w:r>
      <w:r w:rsidR="00B4147F" w:rsidRPr="002D5083">
        <w:rPr>
          <w:color w:val="000000" w:themeColor="text1"/>
          <w:shd w:val="clear" w:color="auto" w:fill="FFFFFF"/>
        </w:rPr>
        <w:t xml:space="preserve"> 11 слова </w:t>
      </w:r>
      <w:r w:rsidR="00B4147F" w:rsidRPr="002D5083">
        <w:rPr>
          <w:color w:val="000000" w:themeColor="text1"/>
          <w:shd w:val="clear" w:color="auto" w:fill="FFFFFF"/>
          <w:lang w:val="ru-RU"/>
        </w:rPr>
        <w:t>“</w:t>
      </w:r>
      <w:r w:rsidR="00B4147F" w:rsidRPr="002D5083">
        <w:rPr>
          <w:color w:val="000000" w:themeColor="text1"/>
          <w:shd w:val="clear" w:color="auto" w:fill="FFFFFF"/>
        </w:rPr>
        <w:t>абзацах першому, сьомому,</w:t>
      </w:r>
      <w:r w:rsidR="00B4147F" w:rsidRPr="002D5083">
        <w:rPr>
          <w:color w:val="000000" w:themeColor="text1"/>
          <w:shd w:val="clear" w:color="auto" w:fill="FFFFFF"/>
          <w:lang w:val="ru-RU"/>
        </w:rPr>
        <w:t>”</w:t>
      </w:r>
      <w:r w:rsidR="00B4147F" w:rsidRPr="002D5083">
        <w:rPr>
          <w:color w:val="000000" w:themeColor="text1"/>
          <w:shd w:val="clear" w:color="auto" w:fill="FFFFFF"/>
        </w:rPr>
        <w:t xml:space="preserve"> замінити словом </w:t>
      </w:r>
      <w:r w:rsidR="00B4147F" w:rsidRPr="002D5083">
        <w:rPr>
          <w:color w:val="000000" w:themeColor="text1"/>
          <w:shd w:val="clear" w:color="auto" w:fill="FFFFFF"/>
          <w:lang w:val="ru-RU"/>
        </w:rPr>
        <w:t>“</w:t>
      </w:r>
      <w:r w:rsidR="00B4147F" w:rsidRPr="002D5083">
        <w:rPr>
          <w:color w:val="000000" w:themeColor="text1"/>
          <w:shd w:val="clear" w:color="auto" w:fill="FFFFFF"/>
        </w:rPr>
        <w:t>абзаці</w:t>
      </w:r>
      <w:r w:rsidR="00B4147F" w:rsidRPr="002D5083">
        <w:rPr>
          <w:color w:val="000000" w:themeColor="text1"/>
          <w:shd w:val="clear" w:color="auto" w:fill="FFFFFF"/>
          <w:lang w:val="ru-RU"/>
        </w:rPr>
        <w:t>”</w:t>
      </w:r>
      <w:r w:rsidR="00534844" w:rsidRPr="002D5083">
        <w:rPr>
          <w:color w:val="000000" w:themeColor="text1"/>
          <w:shd w:val="clear" w:color="auto" w:fill="FFFFFF"/>
          <w:lang w:val="ru-RU"/>
        </w:rPr>
        <w:t>;</w:t>
      </w:r>
    </w:p>
    <w:p w14:paraId="10C582DB" w14:textId="46DD2C7F" w:rsidR="00534844" w:rsidRPr="002D5083" w:rsidRDefault="00534844" w:rsidP="00045A97">
      <w:pPr>
        <w:ind w:firstLine="567"/>
        <w:rPr>
          <w:color w:val="000000" w:themeColor="text1"/>
          <w:shd w:val="clear" w:color="auto" w:fill="FFFFFF"/>
          <w:lang w:val="ru-RU"/>
        </w:rPr>
      </w:pPr>
    </w:p>
    <w:p w14:paraId="5A389F04" w14:textId="37B95F77" w:rsidR="00C22AB7" w:rsidRPr="002D5083" w:rsidRDefault="006F7507" w:rsidP="00045A97">
      <w:pPr>
        <w:ind w:firstLine="567"/>
        <w:rPr>
          <w:rStyle w:val="rvts37"/>
          <w:bCs/>
          <w:color w:val="000000" w:themeColor="text1"/>
          <w:shd w:val="clear" w:color="auto" w:fill="FFFFFF"/>
          <w:vertAlign w:val="superscript"/>
        </w:rPr>
      </w:pPr>
      <w:r w:rsidRPr="002D5083">
        <w:rPr>
          <w:color w:val="000000" w:themeColor="text1"/>
          <w:shd w:val="clear" w:color="auto" w:fill="FFFFFF"/>
          <w:lang w:val="ru-RU"/>
        </w:rPr>
        <w:t>8</w:t>
      </w:r>
      <w:r w:rsidR="00534844" w:rsidRPr="002D5083">
        <w:rPr>
          <w:color w:val="000000" w:themeColor="text1"/>
          <w:shd w:val="clear" w:color="auto" w:fill="FFFFFF"/>
          <w:lang w:val="ru-RU"/>
        </w:rPr>
        <w:t xml:space="preserve">) у пункті </w:t>
      </w:r>
      <w:r w:rsidR="00534844" w:rsidRPr="002D5083">
        <w:rPr>
          <w:color w:val="000000" w:themeColor="text1"/>
          <w:shd w:val="clear" w:color="auto" w:fill="FFFFFF"/>
        </w:rPr>
        <w:t>1</w:t>
      </w:r>
      <w:r w:rsidR="00D178EC" w:rsidRPr="002D5083">
        <w:rPr>
          <w:color w:val="000000" w:themeColor="text1"/>
          <w:shd w:val="clear" w:color="auto" w:fill="FFFFFF"/>
        </w:rPr>
        <w:t>2</w:t>
      </w:r>
      <w:r w:rsidR="00534844" w:rsidRPr="002D5083">
        <w:rPr>
          <w:rStyle w:val="rvts37"/>
          <w:bCs/>
          <w:color w:val="000000" w:themeColor="text1"/>
          <w:shd w:val="clear" w:color="auto" w:fill="FFFFFF"/>
          <w:vertAlign w:val="superscript"/>
        </w:rPr>
        <w:t>2</w:t>
      </w:r>
      <w:r w:rsidR="00C22AB7" w:rsidRPr="002D5083">
        <w:rPr>
          <w:rStyle w:val="rvts37"/>
          <w:bCs/>
          <w:color w:val="000000" w:themeColor="text1"/>
          <w:shd w:val="clear" w:color="auto" w:fill="FFFFFF"/>
        </w:rPr>
        <w:t>:</w:t>
      </w:r>
      <w:r w:rsidR="00534844" w:rsidRPr="002D5083">
        <w:rPr>
          <w:rStyle w:val="rvts37"/>
          <w:bCs/>
          <w:color w:val="000000" w:themeColor="text1"/>
          <w:shd w:val="clear" w:color="auto" w:fill="FFFFFF"/>
          <w:vertAlign w:val="superscript"/>
        </w:rPr>
        <w:t xml:space="preserve"> </w:t>
      </w:r>
    </w:p>
    <w:p w14:paraId="2AD36A4E" w14:textId="77777777" w:rsidR="00C22AB7" w:rsidRPr="002D5083" w:rsidRDefault="00C22AB7" w:rsidP="00045A97">
      <w:pPr>
        <w:ind w:firstLine="567"/>
        <w:rPr>
          <w:color w:val="000000" w:themeColor="text1"/>
          <w:shd w:val="clear" w:color="auto" w:fill="FFFFFF"/>
          <w:lang w:val="ru-RU"/>
        </w:rPr>
      </w:pPr>
      <w:r w:rsidRPr="002D5083">
        <w:rPr>
          <w:rStyle w:val="rvts37"/>
          <w:bCs/>
          <w:color w:val="000000" w:themeColor="text1"/>
          <w:shd w:val="clear" w:color="auto" w:fill="FFFFFF"/>
        </w:rPr>
        <w:t>в абзаці першому</w:t>
      </w:r>
      <w:r w:rsidRPr="002D5083">
        <w:rPr>
          <w:rStyle w:val="rvts37"/>
          <w:bCs/>
          <w:color w:val="000000" w:themeColor="text1"/>
          <w:shd w:val="clear" w:color="auto" w:fill="FFFFFF"/>
          <w:vertAlign w:val="superscript"/>
        </w:rPr>
        <w:t xml:space="preserve"> </w:t>
      </w:r>
      <w:r w:rsidR="00534844" w:rsidRPr="002D5083">
        <w:rPr>
          <w:color w:val="000000" w:themeColor="text1"/>
          <w:shd w:val="clear" w:color="auto" w:fill="FFFFFF"/>
          <w:lang w:val="ru-RU"/>
        </w:rPr>
        <w:t>слова “</w:t>
      </w:r>
      <w:r w:rsidR="00534844" w:rsidRPr="002D5083">
        <w:rPr>
          <w:color w:val="000000" w:themeColor="text1"/>
          <w:shd w:val="clear" w:color="auto" w:fill="FFFFFF"/>
        </w:rPr>
        <w:t>кваліфікованого електронного підпису</w:t>
      </w:r>
      <w:r w:rsidR="00534844" w:rsidRPr="002D5083">
        <w:rPr>
          <w:color w:val="000000" w:themeColor="text1"/>
          <w:shd w:val="clear" w:color="auto" w:fill="FFFFFF"/>
          <w:lang w:val="ru-RU"/>
        </w:rPr>
        <w:t>”</w:t>
      </w:r>
      <w:r w:rsidR="00534844" w:rsidRPr="002D5083">
        <w:rPr>
          <w:color w:val="000000" w:themeColor="text1"/>
          <w:shd w:val="clear" w:color="auto" w:fill="FFFFFF"/>
        </w:rPr>
        <w:t xml:space="preserve"> </w:t>
      </w:r>
      <w:r w:rsidRPr="002D5083">
        <w:rPr>
          <w:color w:val="000000" w:themeColor="text1"/>
          <w:shd w:val="clear" w:color="auto" w:fill="FFFFFF"/>
        </w:rPr>
        <w:t xml:space="preserve">замінити літерами </w:t>
      </w:r>
      <w:r w:rsidRPr="002D5083">
        <w:rPr>
          <w:color w:val="000000" w:themeColor="text1"/>
          <w:shd w:val="clear" w:color="auto" w:fill="FFFFFF"/>
          <w:lang w:val="ru-RU"/>
        </w:rPr>
        <w:t>“КЕП”;</w:t>
      </w:r>
    </w:p>
    <w:p w14:paraId="2E00ECE3" w14:textId="66F6D012" w:rsidR="00534844" w:rsidRPr="002D5083" w:rsidRDefault="00C22AB7" w:rsidP="00045A97">
      <w:pPr>
        <w:ind w:firstLine="567"/>
        <w:rPr>
          <w:color w:val="000000" w:themeColor="text1"/>
          <w:shd w:val="clear" w:color="auto" w:fill="FFFFFF"/>
          <w:lang w:val="ru-RU"/>
        </w:rPr>
      </w:pPr>
      <w:r w:rsidRPr="002D5083">
        <w:rPr>
          <w:color w:val="000000" w:themeColor="text1"/>
          <w:shd w:val="clear" w:color="auto" w:fill="FFFFFF"/>
          <w:lang w:val="ru-RU"/>
        </w:rPr>
        <w:t>в абзаці п</w:t>
      </w:r>
      <w:r w:rsidR="0017192F" w:rsidRPr="002D5083">
        <w:rPr>
          <w:color w:val="000000" w:themeColor="text1"/>
          <w:shd w:val="clear" w:color="auto" w:fill="FFFFFF"/>
        </w:rPr>
        <w:t>’</w:t>
      </w:r>
      <w:r w:rsidRPr="002D5083">
        <w:rPr>
          <w:color w:val="000000" w:themeColor="text1"/>
          <w:shd w:val="clear" w:color="auto" w:fill="FFFFFF"/>
          <w:lang w:val="ru-RU"/>
        </w:rPr>
        <w:t xml:space="preserve">ятому слова </w:t>
      </w:r>
      <w:r w:rsidR="00534844" w:rsidRPr="002D5083">
        <w:rPr>
          <w:color w:val="000000" w:themeColor="text1"/>
          <w:shd w:val="clear" w:color="auto" w:fill="FFFFFF"/>
        </w:rPr>
        <w:t xml:space="preserve"> </w:t>
      </w:r>
      <w:r w:rsidR="00534844" w:rsidRPr="002D5083">
        <w:rPr>
          <w:color w:val="000000" w:themeColor="text1"/>
          <w:shd w:val="clear" w:color="auto" w:fill="FFFFFF"/>
          <w:lang w:val="ru-RU"/>
        </w:rPr>
        <w:t>“належним чином” замінити словами  “</w:t>
      </w:r>
      <w:r w:rsidR="00534844" w:rsidRPr="002D5083">
        <w:rPr>
          <w:color w:val="000000" w:themeColor="text1"/>
        </w:rPr>
        <w:t>в порядку, установленому законодавством України,</w:t>
      </w:r>
      <w:r w:rsidR="00534844" w:rsidRPr="002D5083">
        <w:rPr>
          <w:color w:val="000000" w:themeColor="text1"/>
          <w:shd w:val="clear" w:color="auto" w:fill="FFFFFF"/>
          <w:lang w:val="ru-RU"/>
        </w:rPr>
        <w:t>”.</w:t>
      </w:r>
    </w:p>
    <w:p w14:paraId="35060D55" w14:textId="5900AD4B" w:rsidR="00AD7DF9" w:rsidRPr="002D5083" w:rsidRDefault="00752514" w:rsidP="00045A97">
      <w:pPr>
        <w:spacing w:before="240" w:after="240"/>
        <w:ind w:firstLine="567"/>
        <w:rPr>
          <w:rFonts w:eastAsiaTheme="minorEastAsia"/>
          <w:noProof/>
          <w:color w:val="000000" w:themeColor="text1"/>
          <w:lang w:eastAsia="en-US"/>
        </w:rPr>
      </w:pPr>
      <w:r w:rsidRPr="002D5083">
        <w:rPr>
          <w:rFonts w:eastAsiaTheme="minorEastAsia"/>
          <w:noProof/>
          <w:color w:val="000000" w:themeColor="text1"/>
          <w:lang w:eastAsia="en-US"/>
        </w:rPr>
        <w:t>2</w:t>
      </w:r>
      <w:r w:rsidR="00AD7DF9" w:rsidRPr="002D5083">
        <w:rPr>
          <w:rFonts w:eastAsiaTheme="minorEastAsia"/>
          <w:noProof/>
          <w:color w:val="000000" w:themeColor="text1"/>
          <w:lang w:eastAsia="en-US"/>
        </w:rPr>
        <w:t>. </w:t>
      </w:r>
      <w:r w:rsidR="003006B0" w:rsidRPr="002D5083">
        <w:rPr>
          <w:color w:val="000000" w:themeColor="text1"/>
        </w:rPr>
        <w:t>Постанова набирає чинності з дня</w:t>
      </w:r>
      <w:r w:rsidR="00191EE4" w:rsidRPr="002D5083">
        <w:rPr>
          <w:color w:val="000000" w:themeColor="text1"/>
        </w:rPr>
        <w:t>, наступного за днем</w:t>
      </w:r>
      <w:r w:rsidR="003006B0" w:rsidRPr="002D5083">
        <w:rPr>
          <w:color w:val="000000" w:themeColor="text1"/>
        </w:rPr>
        <w:t xml:space="preserve"> її офіційного опублікування.</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CF7A47" w:rsidRPr="002D5083" w14:paraId="32B2F6C8" w14:textId="77777777" w:rsidTr="00CF7A47">
        <w:tc>
          <w:tcPr>
            <w:tcW w:w="5495" w:type="dxa"/>
            <w:vAlign w:val="bottom"/>
          </w:tcPr>
          <w:p w14:paraId="4B9B63EC" w14:textId="6DDFF017" w:rsidR="00752514" w:rsidRPr="002D5083" w:rsidRDefault="00752514" w:rsidP="004670CC">
            <w:pPr>
              <w:autoSpaceDE w:val="0"/>
              <w:autoSpaceDN w:val="0"/>
              <w:ind w:left="-108"/>
              <w:jc w:val="left"/>
              <w:rPr>
                <w:color w:val="000000" w:themeColor="text1"/>
              </w:rPr>
            </w:pPr>
          </w:p>
          <w:p w14:paraId="430A9645" w14:textId="77777777" w:rsidR="00752514" w:rsidRPr="002D5083" w:rsidRDefault="00752514" w:rsidP="004670CC">
            <w:pPr>
              <w:autoSpaceDE w:val="0"/>
              <w:autoSpaceDN w:val="0"/>
              <w:ind w:left="-108"/>
              <w:jc w:val="left"/>
              <w:rPr>
                <w:color w:val="000000" w:themeColor="text1"/>
              </w:rPr>
            </w:pPr>
          </w:p>
          <w:p w14:paraId="32B2F6C6" w14:textId="028536FE" w:rsidR="00DD60CC" w:rsidRPr="002D5083" w:rsidRDefault="003006B0" w:rsidP="004670CC">
            <w:pPr>
              <w:autoSpaceDE w:val="0"/>
              <w:autoSpaceDN w:val="0"/>
              <w:ind w:left="-108"/>
              <w:jc w:val="left"/>
              <w:rPr>
                <w:color w:val="000000" w:themeColor="text1"/>
              </w:rPr>
            </w:pPr>
            <w:r w:rsidRPr="002D5083">
              <w:rPr>
                <w:color w:val="000000" w:themeColor="text1"/>
              </w:rPr>
              <w:t>Голов</w:t>
            </w:r>
            <w:r w:rsidR="00B4147F" w:rsidRPr="002D5083">
              <w:rPr>
                <w:color w:val="000000" w:themeColor="text1"/>
              </w:rPr>
              <w:t>а</w:t>
            </w:r>
          </w:p>
        </w:tc>
        <w:tc>
          <w:tcPr>
            <w:tcW w:w="4252" w:type="dxa"/>
            <w:vAlign w:val="bottom"/>
          </w:tcPr>
          <w:p w14:paraId="32B2F6C7" w14:textId="6FCD94FA" w:rsidR="00DD60CC" w:rsidRPr="002D5083" w:rsidRDefault="00B4147F" w:rsidP="00B4147F">
            <w:pPr>
              <w:tabs>
                <w:tab w:val="left" w:pos="7020"/>
                <w:tab w:val="left" w:pos="7200"/>
              </w:tabs>
              <w:autoSpaceDE w:val="0"/>
              <w:autoSpaceDN w:val="0"/>
              <w:ind w:left="32"/>
              <w:jc w:val="right"/>
              <w:rPr>
                <w:color w:val="000000" w:themeColor="text1"/>
              </w:rPr>
            </w:pPr>
            <w:r w:rsidRPr="002D5083">
              <w:rPr>
                <w:color w:val="000000" w:themeColor="text1"/>
              </w:rPr>
              <w:t>Андрій ПИШНИЙ</w:t>
            </w:r>
          </w:p>
        </w:tc>
      </w:tr>
    </w:tbl>
    <w:p w14:paraId="3251CBD8" w14:textId="77777777" w:rsidR="005E351D" w:rsidRPr="002D5083" w:rsidRDefault="005E351D" w:rsidP="00FA508E">
      <w:pPr>
        <w:jc w:val="left"/>
        <w:rPr>
          <w:color w:val="000000" w:themeColor="text1"/>
        </w:rPr>
      </w:pPr>
    </w:p>
    <w:p w14:paraId="654A6BD9" w14:textId="77777777" w:rsidR="00752514" w:rsidRPr="002D5083" w:rsidRDefault="00752514" w:rsidP="00FA508E">
      <w:pPr>
        <w:jc w:val="left"/>
        <w:rPr>
          <w:color w:val="000000" w:themeColor="text1"/>
        </w:rPr>
      </w:pPr>
    </w:p>
    <w:p w14:paraId="32B2F6CB" w14:textId="0BBCCE7E" w:rsidR="00FA508E" w:rsidRPr="002D5083" w:rsidRDefault="00FA508E" w:rsidP="00FA508E">
      <w:pPr>
        <w:jc w:val="left"/>
        <w:rPr>
          <w:color w:val="000000" w:themeColor="text1"/>
        </w:rPr>
      </w:pPr>
      <w:r w:rsidRPr="002D5083">
        <w:rPr>
          <w:color w:val="000000" w:themeColor="text1"/>
        </w:rPr>
        <w:t>Інд.</w:t>
      </w:r>
      <w:r w:rsidRPr="002D5083">
        <w:rPr>
          <w:color w:val="000000" w:themeColor="text1"/>
          <w:sz w:val="22"/>
          <w:szCs w:val="22"/>
        </w:rPr>
        <w:t xml:space="preserve"> </w:t>
      </w:r>
      <w:r w:rsidR="003006B0" w:rsidRPr="002D5083">
        <w:rPr>
          <w:color w:val="000000" w:themeColor="text1"/>
        </w:rPr>
        <w:t>25</w:t>
      </w:r>
    </w:p>
    <w:sectPr w:rsidR="00FA508E" w:rsidRPr="002D5083" w:rsidSect="002A1660">
      <w:headerReference w:type="default" r:id="rId16"/>
      <w:footerReference w:type="first" r:id="rId17"/>
      <w:pgSz w:w="11906" w:h="16838" w:code="9"/>
      <w:pgMar w:top="284" w:right="424"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CB8C" w14:textId="77777777" w:rsidR="008F7C26" w:rsidRDefault="008F7C26" w:rsidP="00E53CCD">
      <w:r>
        <w:separator/>
      </w:r>
    </w:p>
  </w:endnote>
  <w:endnote w:type="continuationSeparator" w:id="0">
    <w:p w14:paraId="7FC81B54" w14:textId="77777777" w:rsidR="008F7C26" w:rsidRDefault="008F7C2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1BA0" w14:textId="77777777" w:rsidR="008F7C26" w:rsidRDefault="008F7C26" w:rsidP="00E53CCD">
      <w:r>
        <w:separator/>
      </w:r>
    </w:p>
  </w:footnote>
  <w:footnote w:type="continuationSeparator" w:id="0">
    <w:p w14:paraId="297C809F" w14:textId="77777777" w:rsidR="008F7C26" w:rsidRDefault="008F7C2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7A103E34" w:rsidR="00460BA2" w:rsidRDefault="00FE0B90">
        <w:pPr>
          <w:pStyle w:val="a5"/>
          <w:jc w:val="center"/>
        </w:pPr>
        <w:r>
          <w:fldChar w:fldCharType="begin"/>
        </w:r>
        <w:r w:rsidR="00460BA2">
          <w:instrText xml:space="preserve"> PAGE   \* MERGEFORMAT </w:instrText>
        </w:r>
        <w:r>
          <w:fldChar w:fldCharType="separate"/>
        </w:r>
        <w:r w:rsidR="002A1660">
          <w:rPr>
            <w:noProof/>
          </w:rPr>
          <w:t>2</w:t>
        </w:r>
        <w:r>
          <w:fldChar w:fldCharType="end"/>
        </w:r>
      </w:p>
    </w:sdtContent>
  </w:sdt>
  <w:p w14:paraId="32B2F6D2"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3331E"/>
    <w:rsid w:val="000342A5"/>
    <w:rsid w:val="0003793C"/>
    <w:rsid w:val="00045A97"/>
    <w:rsid w:val="00051F5C"/>
    <w:rsid w:val="00053F52"/>
    <w:rsid w:val="000543C6"/>
    <w:rsid w:val="0005624D"/>
    <w:rsid w:val="00057B2E"/>
    <w:rsid w:val="000600A8"/>
    <w:rsid w:val="00061C52"/>
    <w:rsid w:val="00063480"/>
    <w:rsid w:val="000638F2"/>
    <w:rsid w:val="00064086"/>
    <w:rsid w:val="000700B8"/>
    <w:rsid w:val="00090E19"/>
    <w:rsid w:val="000979A8"/>
    <w:rsid w:val="000A3252"/>
    <w:rsid w:val="000A6220"/>
    <w:rsid w:val="000A66E2"/>
    <w:rsid w:val="000B1962"/>
    <w:rsid w:val="000B2990"/>
    <w:rsid w:val="000B4F9B"/>
    <w:rsid w:val="000C4501"/>
    <w:rsid w:val="000D778F"/>
    <w:rsid w:val="000E0CB3"/>
    <w:rsid w:val="000E5B8C"/>
    <w:rsid w:val="000E6652"/>
    <w:rsid w:val="000E7A13"/>
    <w:rsid w:val="000F0E5F"/>
    <w:rsid w:val="00105331"/>
    <w:rsid w:val="00106229"/>
    <w:rsid w:val="00115ECF"/>
    <w:rsid w:val="0013555C"/>
    <w:rsid w:val="00135CD1"/>
    <w:rsid w:val="001631E2"/>
    <w:rsid w:val="00163A41"/>
    <w:rsid w:val="001716B0"/>
    <w:rsid w:val="0017192F"/>
    <w:rsid w:val="001740C0"/>
    <w:rsid w:val="0017632C"/>
    <w:rsid w:val="00190E1A"/>
    <w:rsid w:val="00191EE4"/>
    <w:rsid w:val="00195F32"/>
    <w:rsid w:val="001A0EE5"/>
    <w:rsid w:val="001A16FA"/>
    <w:rsid w:val="001A4CB9"/>
    <w:rsid w:val="001A6795"/>
    <w:rsid w:val="001C206C"/>
    <w:rsid w:val="001C6B35"/>
    <w:rsid w:val="001D1E7D"/>
    <w:rsid w:val="001D1F0C"/>
    <w:rsid w:val="001D487A"/>
    <w:rsid w:val="001E09BD"/>
    <w:rsid w:val="001E6B43"/>
    <w:rsid w:val="001E7479"/>
    <w:rsid w:val="00201613"/>
    <w:rsid w:val="002225B2"/>
    <w:rsid w:val="002238D1"/>
    <w:rsid w:val="00233F37"/>
    <w:rsid w:val="00241373"/>
    <w:rsid w:val="00253BF9"/>
    <w:rsid w:val="0025455E"/>
    <w:rsid w:val="00264983"/>
    <w:rsid w:val="00266678"/>
    <w:rsid w:val="00276988"/>
    <w:rsid w:val="00280DCC"/>
    <w:rsid w:val="00285DDA"/>
    <w:rsid w:val="00290169"/>
    <w:rsid w:val="0029358D"/>
    <w:rsid w:val="002966D1"/>
    <w:rsid w:val="002A1660"/>
    <w:rsid w:val="002A2391"/>
    <w:rsid w:val="002A5916"/>
    <w:rsid w:val="002B351E"/>
    <w:rsid w:val="002B3F71"/>
    <w:rsid w:val="002B582B"/>
    <w:rsid w:val="002B7D18"/>
    <w:rsid w:val="002C01D9"/>
    <w:rsid w:val="002C1FDB"/>
    <w:rsid w:val="002D1790"/>
    <w:rsid w:val="002D5083"/>
    <w:rsid w:val="002D6676"/>
    <w:rsid w:val="002D710F"/>
    <w:rsid w:val="002E044D"/>
    <w:rsid w:val="002F47B6"/>
    <w:rsid w:val="002F48EF"/>
    <w:rsid w:val="003006B0"/>
    <w:rsid w:val="0030447B"/>
    <w:rsid w:val="00312D44"/>
    <w:rsid w:val="00313F66"/>
    <w:rsid w:val="00320159"/>
    <w:rsid w:val="00332701"/>
    <w:rsid w:val="003341BF"/>
    <w:rsid w:val="00340D07"/>
    <w:rsid w:val="00345982"/>
    <w:rsid w:val="00345C1D"/>
    <w:rsid w:val="0035344C"/>
    <w:rsid w:val="00356E34"/>
    <w:rsid w:val="00357676"/>
    <w:rsid w:val="003764F5"/>
    <w:rsid w:val="00377505"/>
    <w:rsid w:val="00383329"/>
    <w:rsid w:val="0038385E"/>
    <w:rsid w:val="00384F65"/>
    <w:rsid w:val="00394649"/>
    <w:rsid w:val="0039725C"/>
    <w:rsid w:val="003A16E7"/>
    <w:rsid w:val="003A751F"/>
    <w:rsid w:val="003C10F1"/>
    <w:rsid w:val="003C3282"/>
    <w:rsid w:val="003C3985"/>
    <w:rsid w:val="003D6B33"/>
    <w:rsid w:val="003E7824"/>
    <w:rsid w:val="003F0441"/>
    <w:rsid w:val="003F2200"/>
    <w:rsid w:val="003F28B5"/>
    <w:rsid w:val="003F7093"/>
    <w:rsid w:val="003F7FA3"/>
    <w:rsid w:val="00401291"/>
    <w:rsid w:val="00401EDB"/>
    <w:rsid w:val="00404C93"/>
    <w:rsid w:val="00407877"/>
    <w:rsid w:val="004130B9"/>
    <w:rsid w:val="00415D8F"/>
    <w:rsid w:val="00424321"/>
    <w:rsid w:val="00446704"/>
    <w:rsid w:val="00455B45"/>
    <w:rsid w:val="00455E3C"/>
    <w:rsid w:val="00460BA2"/>
    <w:rsid w:val="00462B98"/>
    <w:rsid w:val="004666D6"/>
    <w:rsid w:val="004670CC"/>
    <w:rsid w:val="004705D4"/>
    <w:rsid w:val="00473EF2"/>
    <w:rsid w:val="00481BB4"/>
    <w:rsid w:val="00483205"/>
    <w:rsid w:val="004A0912"/>
    <w:rsid w:val="004A1CFC"/>
    <w:rsid w:val="004A7B76"/>
    <w:rsid w:val="004A7F75"/>
    <w:rsid w:val="004B1FE9"/>
    <w:rsid w:val="004B5574"/>
    <w:rsid w:val="004D2B57"/>
    <w:rsid w:val="004E22E2"/>
    <w:rsid w:val="004E29C6"/>
    <w:rsid w:val="0050563F"/>
    <w:rsid w:val="00514C67"/>
    <w:rsid w:val="005212A1"/>
    <w:rsid w:val="005212C5"/>
    <w:rsid w:val="00523C13"/>
    <w:rsid w:val="00524F07"/>
    <w:rsid w:val="005257C2"/>
    <w:rsid w:val="00532633"/>
    <w:rsid w:val="00534844"/>
    <w:rsid w:val="005403F1"/>
    <w:rsid w:val="005422A0"/>
    <w:rsid w:val="00542533"/>
    <w:rsid w:val="00543654"/>
    <w:rsid w:val="005462E2"/>
    <w:rsid w:val="005624B6"/>
    <w:rsid w:val="00562C46"/>
    <w:rsid w:val="0057237F"/>
    <w:rsid w:val="0057575F"/>
    <w:rsid w:val="00577402"/>
    <w:rsid w:val="005822CB"/>
    <w:rsid w:val="0058301D"/>
    <w:rsid w:val="00590CAF"/>
    <w:rsid w:val="00597AB6"/>
    <w:rsid w:val="005A0F4B"/>
    <w:rsid w:val="005A1D3C"/>
    <w:rsid w:val="005A3F34"/>
    <w:rsid w:val="005A7AEE"/>
    <w:rsid w:val="005B0D51"/>
    <w:rsid w:val="005B2D03"/>
    <w:rsid w:val="005B366A"/>
    <w:rsid w:val="005B393A"/>
    <w:rsid w:val="005B773F"/>
    <w:rsid w:val="005B785B"/>
    <w:rsid w:val="005C5CBF"/>
    <w:rsid w:val="005D3B88"/>
    <w:rsid w:val="005D45F5"/>
    <w:rsid w:val="005E351D"/>
    <w:rsid w:val="005E3FA8"/>
    <w:rsid w:val="005F4548"/>
    <w:rsid w:val="005F4CB4"/>
    <w:rsid w:val="005F6B35"/>
    <w:rsid w:val="005F6EA8"/>
    <w:rsid w:val="005F6F34"/>
    <w:rsid w:val="00601B0D"/>
    <w:rsid w:val="00612739"/>
    <w:rsid w:val="00640612"/>
    <w:rsid w:val="0064227D"/>
    <w:rsid w:val="00645119"/>
    <w:rsid w:val="0065179F"/>
    <w:rsid w:val="00655197"/>
    <w:rsid w:val="00657593"/>
    <w:rsid w:val="0066240B"/>
    <w:rsid w:val="00670C95"/>
    <w:rsid w:val="00673270"/>
    <w:rsid w:val="006925CE"/>
    <w:rsid w:val="00692C8C"/>
    <w:rsid w:val="006B2748"/>
    <w:rsid w:val="006B465F"/>
    <w:rsid w:val="006C06A1"/>
    <w:rsid w:val="006C0F22"/>
    <w:rsid w:val="006C13B1"/>
    <w:rsid w:val="006C4176"/>
    <w:rsid w:val="006C66EF"/>
    <w:rsid w:val="006D2617"/>
    <w:rsid w:val="006F38D1"/>
    <w:rsid w:val="006F7507"/>
    <w:rsid w:val="00700AA3"/>
    <w:rsid w:val="007142BA"/>
    <w:rsid w:val="00714823"/>
    <w:rsid w:val="00717197"/>
    <w:rsid w:val="0071789F"/>
    <w:rsid w:val="00730088"/>
    <w:rsid w:val="0074527C"/>
    <w:rsid w:val="00746947"/>
    <w:rsid w:val="00747222"/>
    <w:rsid w:val="00750898"/>
    <w:rsid w:val="00752514"/>
    <w:rsid w:val="007551D0"/>
    <w:rsid w:val="0076356A"/>
    <w:rsid w:val="007712EF"/>
    <w:rsid w:val="00773559"/>
    <w:rsid w:val="0077782C"/>
    <w:rsid w:val="0078127A"/>
    <w:rsid w:val="00783AF2"/>
    <w:rsid w:val="0078628D"/>
    <w:rsid w:val="00787E46"/>
    <w:rsid w:val="007939AE"/>
    <w:rsid w:val="00795AE6"/>
    <w:rsid w:val="007A6609"/>
    <w:rsid w:val="007B7B73"/>
    <w:rsid w:val="007C2CED"/>
    <w:rsid w:val="007D0977"/>
    <w:rsid w:val="007F06A6"/>
    <w:rsid w:val="007F16F3"/>
    <w:rsid w:val="007F36F6"/>
    <w:rsid w:val="007F488D"/>
    <w:rsid w:val="007F4A60"/>
    <w:rsid w:val="00801DEE"/>
    <w:rsid w:val="00802988"/>
    <w:rsid w:val="00810995"/>
    <w:rsid w:val="00817B00"/>
    <w:rsid w:val="00821550"/>
    <w:rsid w:val="008243E8"/>
    <w:rsid w:val="008274C0"/>
    <w:rsid w:val="008346BD"/>
    <w:rsid w:val="008415A0"/>
    <w:rsid w:val="00842ADB"/>
    <w:rsid w:val="00844EBE"/>
    <w:rsid w:val="008527F0"/>
    <w:rsid w:val="0085364B"/>
    <w:rsid w:val="00866993"/>
    <w:rsid w:val="0087352B"/>
    <w:rsid w:val="00874366"/>
    <w:rsid w:val="008762D8"/>
    <w:rsid w:val="00877385"/>
    <w:rsid w:val="00877C30"/>
    <w:rsid w:val="00893F4D"/>
    <w:rsid w:val="00897035"/>
    <w:rsid w:val="008A63CA"/>
    <w:rsid w:val="008B1589"/>
    <w:rsid w:val="008B5CF2"/>
    <w:rsid w:val="008B74DD"/>
    <w:rsid w:val="008C72B5"/>
    <w:rsid w:val="008C72E9"/>
    <w:rsid w:val="008D10FD"/>
    <w:rsid w:val="008D122F"/>
    <w:rsid w:val="008D5F60"/>
    <w:rsid w:val="008D727F"/>
    <w:rsid w:val="008E5C26"/>
    <w:rsid w:val="008F0210"/>
    <w:rsid w:val="008F2600"/>
    <w:rsid w:val="008F5D52"/>
    <w:rsid w:val="008F7C26"/>
    <w:rsid w:val="00904F17"/>
    <w:rsid w:val="00922966"/>
    <w:rsid w:val="0092710A"/>
    <w:rsid w:val="00937AE3"/>
    <w:rsid w:val="00937D24"/>
    <w:rsid w:val="00943175"/>
    <w:rsid w:val="0094575F"/>
    <w:rsid w:val="00946067"/>
    <w:rsid w:val="00950F69"/>
    <w:rsid w:val="0095741D"/>
    <w:rsid w:val="009578E8"/>
    <w:rsid w:val="0097288F"/>
    <w:rsid w:val="0098207E"/>
    <w:rsid w:val="00990AAE"/>
    <w:rsid w:val="009916DD"/>
    <w:rsid w:val="00995908"/>
    <w:rsid w:val="009B193C"/>
    <w:rsid w:val="009B6120"/>
    <w:rsid w:val="009C2F76"/>
    <w:rsid w:val="009C6E64"/>
    <w:rsid w:val="009F29DD"/>
    <w:rsid w:val="009F5312"/>
    <w:rsid w:val="00A02655"/>
    <w:rsid w:val="00A02AEC"/>
    <w:rsid w:val="00A0594A"/>
    <w:rsid w:val="00A12C47"/>
    <w:rsid w:val="00A23E04"/>
    <w:rsid w:val="00A46C15"/>
    <w:rsid w:val="00A50DC0"/>
    <w:rsid w:val="00A63695"/>
    <w:rsid w:val="00A72F06"/>
    <w:rsid w:val="00A730B2"/>
    <w:rsid w:val="00A730F2"/>
    <w:rsid w:val="00A75AF0"/>
    <w:rsid w:val="00A77FFD"/>
    <w:rsid w:val="00A956D9"/>
    <w:rsid w:val="00AA3E98"/>
    <w:rsid w:val="00AA67EB"/>
    <w:rsid w:val="00AB3EDD"/>
    <w:rsid w:val="00AB4554"/>
    <w:rsid w:val="00AB4CD6"/>
    <w:rsid w:val="00AC47B6"/>
    <w:rsid w:val="00AC4D8A"/>
    <w:rsid w:val="00AC5CE6"/>
    <w:rsid w:val="00AD7DF9"/>
    <w:rsid w:val="00AE29BB"/>
    <w:rsid w:val="00AE2CAF"/>
    <w:rsid w:val="00AF0FD7"/>
    <w:rsid w:val="00AF33D9"/>
    <w:rsid w:val="00B002E4"/>
    <w:rsid w:val="00B16271"/>
    <w:rsid w:val="00B215E6"/>
    <w:rsid w:val="00B22758"/>
    <w:rsid w:val="00B26DAE"/>
    <w:rsid w:val="00B332B2"/>
    <w:rsid w:val="00B34CCC"/>
    <w:rsid w:val="00B36EC7"/>
    <w:rsid w:val="00B36EDD"/>
    <w:rsid w:val="00B4147F"/>
    <w:rsid w:val="00B42719"/>
    <w:rsid w:val="00B46944"/>
    <w:rsid w:val="00B61C97"/>
    <w:rsid w:val="00B628C5"/>
    <w:rsid w:val="00B63AB5"/>
    <w:rsid w:val="00B71933"/>
    <w:rsid w:val="00B8078D"/>
    <w:rsid w:val="00B84892"/>
    <w:rsid w:val="00BA3761"/>
    <w:rsid w:val="00BA5A74"/>
    <w:rsid w:val="00BA5DB6"/>
    <w:rsid w:val="00BA7E70"/>
    <w:rsid w:val="00BB1748"/>
    <w:rsid w:val="00BD0E73"/>
    <w:rsid w:val="00BD12A3"/>
    <w:rsid w:val="00BD3472"/>
    <w:rsid w:val="00BD3FD8"/>
    <w:rsid w:val="00BD6D34"/>
    <w:rsid w:val="00BD7501"/>
    <w:rsid w:val="00BD7F6E"/>
    <w:rsid w:val="00BE69A3"/>
    <w:rsid w:val="00BF47B0"/>
    <w:rsid w:val="00BF5327"/>
    <w:rsid w:val="00C17EF5"/>
    <w:rsid w:val="00C21D33"/>
    <w:rsid w:val="00C22AB7"/>
    <w:rsid w:val="00C30EAA"/>
    <w:rsid w:val="00C3382F"/>
    <w:rsid w:val="00C42859"/>
    <w:rsid w:val="00C4377C"/>
    <w:rsid w:val="00C47F0F"/>
    <w:rsid w:val="00C51D84"/>
    <w:rsid w:val="00C52506"/>
    <w:rsid w:val="00C5420A"/>
    <w:rsid w:val="00C63169"/>
    <w:rsid w:val="00C82259"/>
    <w:rsid w:val="00C87D85"/>
    <w:rsid w:val="00C9297C"/>
    <w:rsid w:val="00C94014"/>
    <w:rsid w:val="00CA773A"/>
    <w:rsid w:val="00CB0A99"/>
    <w:rsid w:val="00CB5A09"/>
    <w:rsid w:val="00CD0CD4"/>
    <w:rsid w:val="00CD168A"/>
    <w:rsid w:val="00CE12A6"/>
    <w:rsid w:val="00CE3B9F"/>
    <w:rsid w:val="00CF1FB8"/>
    <w:rsid w:val="00CF2C65"/>
    <w:rsid w:val="00CF7A47"/>
    <w:rsid w:val="00D078B6"/>
    <w:rsid w:val="00D1022C"/>
    <w:rsid w:val="00D1325A"/>
    <w:rsid w:val="00D178EC"/>
    <w:rsid w:val="00D27115"/>
    <w:rsid w:val="00D34DCC"/>
    <w:rsid w:val="00D41373"/>
    <w:rsid w:val="00D50A8A"/>
    <w:rsid w:val="00D61D9B"/>
    <w:rsid w:val="00D711FE"/>
    <w:rsid w:val="00D745E9"/>
    <w:rsid w:val="00D87311"/>
    <w:rsid w:val="00D905C3"/>
    <w:rsid w:val="00D9096D"/>
    <w:rsid w:val="00D92FB9"/>
    <w:rsid w:val="00D96C45"/>
    <w:rsid w:val="00DA2F09"/>
    <w:rsid w:val="00DA5025"/>
    <w:rsid w:val="00DA7907"/>
    <w:rsid w:val="00DC1E0F"/>
    <w:rsid w:val="00DC1E60"/>
    <w:rsid w:val="00DD2AC9"/>
    <w:rsid w:val="00DD60CC"/>
    <w:rsid w:val="00DE1BC8"/>
    <w:rsid w:val="00DF4D12"/>
    <w:rsid w:val="00E10AE2"/>
    <w:rsid w:val="00E10F0A"/>
    <w:rsid w:val="00E21875"/>
    <w:rsid w:val="00E25407"/>
    <w:rsid w:val="00E273A5"/>
    <w:rsid w:val="00E32599"/>
    <w:rsid w:val="00E33501"/>
    <w:rsid w:val="00E33B0E"/>
    <w:rsid w:val="00E42621"/>
    <w:rsid w:val="00E42F26"/>
    <w:rsid w:val="00E446A6"/>
    <w:rsid w:val="00E518C9"/>
    <w:rsid w:val="00E53CB5"/>
    <w:rsid w:val="00E53CCD"/>
    <w:rsid w:val="00E55027"/>
    <w:rsid w:val="00E62607"/>
    <w:rsid w:val="00E649EA"/>
    <w:rsid w:val="00E65DF9"/>
    <w:rsid w:val="00E71855"/>
    <w:rsid w:val="00E719A9"/>
    <w:rsid w:val="00E828F7"/>
    <w:rsid w:val="00E92B65"/>
    <w:rsid w:val="00EA1DE4"/>
    <w:rsid w:val="00EA60EA"/>
    <w:rsid w:val="00EB0EE3"/>
    <w:rsid w:val="00EB29BF"/>
    <w:rsid w:val="00EC067F"/>
    <w:rsid w:val="00EC155D"/>
    <w:rsid w:val="00EC7C7F"/>
    <w:rsid w:val="00EE1B30"/>
    <w:rsid w:val="00EF4B42"/>
    <w:rsid w:val="00F003D3"/>
    <w:rsid w:val="00F008AB"/>
    <w:rsid w:val="00F02163"/>
    <w:rsid w:val="00F03C00"/>
    <w:rsid w:val="00F03E32"/>
    <w:rsid w:val="00F31DC5"/>
    <w:rsid w:val="00F35A5A"/>
    <w:rsid w:val="00F42289"/>
    <w:rsid w:val="00F42E75"/>
    <w:rsid w:val="00F42FB8"/>
    <w:rsid w:val="00F45D65"/>
    <w:rsid w:val="00F50E6A"/>
    <w:rsid w:val="00F517FA"/>
    <w:rsid w:val="00F52D16"/>
    <w:rsid w:val="00F550C4"/>
    <w:rsid w:val="00F558C8"/>
    <w:rsid w:val="00F62B0D"/>
    <w:rsid w:val="00F62D67"/>
    <w:rsid w:val="00F63BD9"/>
    <w:rsid w:val="00F6522B"/>
    <w:rsid w:val="00F6694C"/>
    <w:rsid w:val="00F66F7F"/>
    <w:rsid w:val="00F673E7"/>
    <w:rsid w:val="00F8145F"/>
    <w:rsid w:val="00F83F1E"/>
    <w:rsid w:val="00F86C17"/>
    <w:rsid w:val="00F9283D"/>
    <w:rsid w:val="00F96F18"/>
    <w:rsid w:val="00FA508E"/>
    <w:rsid w:val="00FA5320"/>
    <w:rsid w:val="00FA7022"/>
    <w:rsid w:val="00FA7846"/>
    <w:rsid w:val="00FB0D4D"/>
    <w:rsid w:val="00FB7B15"/>
    <w:rsid w:val="00FC01A3"/>
    <w:rsid w:val="00FC26E5"/>
    <w:rsid w:val="00FC2C46"/>
    <w:rsid w:val="00FD19F1"/>
    <w:rsid w:val="00FD370F"/>
    <w:rsid w:val="00FE0B90"/>
    <w:rsid w:val="00FE1662"/>
    <w:rsid w:val="00FF4C41"/>
    <w:rsid w:val="00FF6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37">
    <w:name w:val="rvts37"/>
    <w:basedOn w:val="a0"/>
    <w:rsid w:val="003006B0"/>
  </w:style>
  <w:style w:type="character" w:styleId="af4">
    <w:name w:val="Hyperlink"/>
    <w:basedOn w:val="a0"/>
    <w:uiPriority w:val="99"/>
    <w:unhideWhenUsed/>
    <w:rsid w:val="003006B0"/>
    <w:rPr>
      <w:color w:val="0000FF"/>
      <w:u w:val="single"/>
    </w:rPr>
  </w:style>
  <w:style w:type="character" w:styleId="af5">
    <w:name w:val="annotation reference"/>
    <w:basedOn w:val="a0"/>
    <w:uiPriority w:val="99"/>
    <w:semiHidden/>
    <w:unhideWhenUsed/>
    <w:rsid w:val="001C6B35"/>
    <w:rPr>
      <w:sz w:val="16"/>
      <w:szCs w:val="16"/>
    </w:rPr>
  </w:style>
  <w:style w:type="paragraph" w:styleId="af6">
    <w:name w:val="annotation text"/>
    <w:basedOn w:val="a"/>
    <w:link w:val="af7"/>
    <w:uiPriority w:val="99"/>
    <w:semiHidden/>
    <w:unhideWhenUsed/>
    <w:rsid w:val="001C6B35"/>
    <w:rPr>
      <w:sz w:val="20"/>
      <w:szCs w:val="20"/>
    </w:rPr>
  </w:style>
  <w:style w:type="character" w:customStyle="1" w:styleId="af7">
    <w:name w:val="Текст примітки Знак"/>
    <w:basedOn w:val="a0"/>
    <w:link w:val="af6"/>
    <w:uiPriority w:val="99"/>
    <w:semiHidden/>
    <w:rsid w:val="001C6B3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C6B35"/>
    <w:rPr>
      <w:b/>
      <w:bCs/>
    </w:rPr>
  </w:style>
  <w:style w:type="character" w:customStyle="1" w:styleId="af9">
    <w:name w:val="Тема примітки Знак"/>
    <w:basedOn w:val="af7"/>
    <w:link w:val="af8"/>
    <w:uiPriority w:val="99"/>
    <w:semiHidden/>
    <w:rsid w:val="001C6B35"/>
    <w:rPr>
      <w:rFonts w:ascii="Times New Roman" w:hAnsi="Times New Roman" w:cs="Times New Roman"/>
      <w:b/>
      <w:bCs/>
      <w:sz w:val="20"/>
      <w:szCs w:val="20"/>
      <w:lang w:eastAsia="uk-UA"/>
    </w:rPr>
  </w:style>
  <w:style w:type="paragraph" w:styleId="afa">
    <w:name w:val="Revision"/>
    <w:hidden/>
    <w:uiPriority w:val="99"/>
    <w:semiHidden/>
    <w:rsid w:val="00746947"/>
    <w:pPr>
      <w:spacing w:after="0" w:line="240" w:lineRule="auto"/>
    </w:pPr>
    <w:rPr>
      <w:rFonts w:ascii="Times New Roman" w:hAnsi="Times New Roman" w:cs="Times New Roman"/>
      <w:sz w:val="28"/>
      <w:szCs w:val="28"/>
      <w:lang w:eastAsia="uk-UA"/>
    </w:rPr>
  </w:style>
  <w:style w:type="paragraph" w:customStyle="1" w:styleId="rvps2">
    <w:name w:val="rvps2"/>
    <w:basedOn w:val="a"/>
    <w:rsid w:val="00312D44"/>
    <w:pPr>
      <w:spacing w:before="100" w:beforeAutospacing="1" w:after="100" w:afterAutospacing="1"/>
      <w:jc w:val="left"/>
    </w:pPr>
    <w:rPr>
      <w:sz w:val="24"/>
      <w:szCs w:val="24"/>
      <w:lang w:val="ru-RU" w:eastAsia="ru-RU"/>
    </w:rPr>
  </w:style>
  <w:style w:type="paragraph" w:styleId="afb">
    <w:name w:val="footnote text"/>
    <w:basedOn w:val="a"/>
    <w:link w:val="afc"/>
    <w:uiPriority w:val="99"/>
    <w:semiHidden/>
    <w:unhideWhenUsed/>
    <w:rsid w:val="00105331"/>
    <w:rPr>
      <w:sz w:val="20"/>
      <w:szCs w:val="20"/>
    </w:rPr>
  </w:style>
  <w:style w:type="character" w:customStyle="1" w:styleId="afc">
    <w:name w:val="Текст виноски Знак"/>
    <w:basedOn w:val="a0"/>
    <w:link w:val="afb"/>
    <w:uiPriority w:val="99"/>
    <w:semiHidden/>
    <w:rsid w:val="00105331"/>
    <w:rPr>
      <w:rFonts w:ascii="Times New Roman" w:hAnsi="Times New Roman" w:cs="Times New Roman"/>
      <w:sz w:val="20"/>
      <w:szCs w:val="20"/>
      <w:lang w:eastAsia="uk-UA"/>
    </w:rPr>
  </w:style>
  <w:style w:type="character" w:styleId="afd">
    <w:name w:val="footnote reference"/>
    <w:basedOn w:val="a0"/>
    <w:uiPriority w:val="99"/>
    <w:semiHidden/>
    <w:unhideWhenUsed/>
    <w:rsid w:val="00105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29581506">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v0090500-2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v01455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37D928-52A0-4E0A-AD4C-C9C72BB4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6358</Words>
  <Characters>3625</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Щербак Оксана Василівна</cp:lastModifiedBy>
  <cp:revision>4</cp:revision>
  <cp:lastPrinted>2022-09-28T08:23:00Z</cp:lastPrinted>
  <dcterms:created xsi:type="dcterms:W3CDTF">2023-07-28T05:25:00Z</dcterms:created>
  <dcterms:modified xsi:type="dcterms:W3CDTF">2023-07-28T05:27:00Z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