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46" w:rsidRPr="0030163D" w:rsidRDefault="00FA7846" w:rsidP="00FA7846">
      <w:pPr>
        <w:rPr>
          <w:sz w:val="2"/>
          <w:szCs w:val="2"/>
        </w:rPr>
      </w:pPr>
    </w:p>
    <w:p w:rsidR="00657593" w:rsidRPr="0030163D" w:rsidRDefault="00657593" w:rsidP="0065759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30163D" w:rsidTr="00E054A9">
        <w:trPr>
          <w:trHeight w:val="851"/>
        </w:trPr>
        <w:tc>
          <w:tcPr>
            <w:tcW w:w="3284" w:type="dxa"/>
          </w:tcPr>
          <w:p w:rsidR="00657593" w:rsidRPr="0030163D" w:rsidRDefault="00657593" w:rsidP="00E054A9"/>
        </w:tc>
        <w:tc>
          <w:tcPr>
            <w:tcW w:w="3285" w:type="dxa"/>
            <w:vMerge w:val="restart"/>
          </w:tcPr>
          <w:p w:rsidR="00657593" w:rsidRPr="0030163D" w:rsidRDefault="00657593" w:rsidP="00E054A9">
            <w:pPr>
              <w:jc w:val="center"/>
            </w:pPr>
            <w:r w:rsidRPr="0030163D">
              <w:object w:dxaOrig="1595" w:dyaOrig="2201" w14:anchorId="125DA3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>
                  <v:imagedata r:id="rId9" o:title=""/>
                </v:shape>
                <o:OLEObject Type="Embed" ProgID="CorelDraw.Graphic.16" ShapeID="_x0000_i1025" DrawAspect="Content" ObjectID="_1694412774" r:id="rId10"/>
              </w:object>
            </w:r>
          </w:p>
        </w:tc>
        <w:tc>
          <w:tcPr>
            <w:tcW w:w="3285" w:type="dxa"/>
          </w:tcPr>
          <w:p w:rsidR="00657593" w:rsidRPr="0030163D" w:rsidRDefault="00657593" w:rsidP="00E054A9"/>
        </w:tc>
      </w:tr>
      <w:tr w:rsidR="00657593" w:rsidRPr="0030163D" w:rsidTr="00E054A9">
        <w:tc>
          <w:tcPr>
            <w:tcW w:w="3284" w:type="dxa"/>
          </w:tcPr>
          <w:p w:rsidR="00657593" w:rsidRPr="0030163D" w:rsidRDefault="00657593" w:rsidP="00E054A9"/>
        </w:tc>
        <w:tc>
          <w:tcPr>
            <w:tcW w:w="3285" w:type="dxa"/>
            <w:vMerge/>
          </w:tcPr>
          <w:p w:rsidR="00657593" w:rsidRPr="0030163D" w:rsidRDefault="00657593" w:rsidP="00E054A9"/>
        </w:tc>
        <w:tc>
          <w:tcPr>
            <w:tcW w:w="3285" w:type="dxa"/>
          </w:tcPr>
          <w:p w:rsidR="00657593" w:rsidRPr="0030163D" w:rsidRDefault="00657593" w:rsidP="00E054A9"/>
        </w:tc>
      </w:tr>
      <w:tr w:rsidR="00657593" w:rsidRPr="0030163D" w:rsidTr="00E054A9">
        <w:tc>
          <w:tcPr>
            <w:tcW w:w="9854" w:type="dxa"/>
            <w:gridSpan w:val="3"/>
          </w:tcPr>
          <w:p w:rsidR="00657593" w:rsidRPr="0030163D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30163D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Pr="0030163D" w:rsidRDefault="00657593" w:rsidP="00E054A9">
            <w:pPr>
              <w:jc w:val="center"/>
            </w:pPr>
            <w:r w:rsidRPr="0030163D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30163D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29"/>
        <w:gridCol w:w="1690"/>
        <w:gridCol w:w="1889"/>
      </w:tblGrid>
      <w:tr w:rsidR="00657593" w:rsidRPr="0030163D" w:rsidTr="0076356A">
        <w:tc>
          <w:tcPr>
            <w:tcW w:w="3510" w:type="dxa"/>
            <w:vAlign w:val="bottom"/>
          </w:tcPr>
          <w:p w:rsidR="00657593" w:rsidRPr="0030163D" w:rsidRDefault="006E4782" w:rsidP="00E054A9">
            <w:r w:rsidRPr="0030163D">
              <w:t>27 вересня 2021 року</w:t>
            </w:r>
          </w:p>
        </w:tc>
        <w:tc>
          <w:tcPr>
            <w:tcW w:w="2694" w:type="dxa"/>
          </w:tcPr>
          <w:p w:rsidR="00657593" w:rsidRPr="0030163D" w:rsidRDefault="00657593" w:rsidP="00E62607">
            <w:pPr>
              <w:spacing w:before="240"/>
              <w:jc w:val="center"/>
            </w:pPr>
            <w:r w:rsidRPr="0030163D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Pr="0030163D" w:rsidRDefault="006E4782" w:rsidP="00E62607">
            <w:pPr>
              <w:jc w:val="right"/>
            </w:pPr>
            <w:r w:rsidRPr="0030163D">
              <w:rPr>
                <w:color w:val="FFFFFF" w:themeColor="background1"/>
              </w:rPr>
              <w:t>№№ 96 №№</w:t>
            </w:r>
            <w:r w:rsidR="008274C0" w:rsidRPr="0030163D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Pr="0030163D" w:rsidRDefault="006E4782" w:rsidP="00290169">
            <w:pPr>
              <w:jc w:val="left"/>
            </w:pPr>
            <w:r w:rsidRPr="0030163D">
              <w:t>№ 96</w:t>
            </w:r>
          </w:p>
        </w:tc>
      </w:tr>
    </w:tbl>
    <w:p w:rsidR="00657593" w:rsidRPr="0030163D" w:rsidRDefault="00657593" w:rsidP="00657593">
      <w:pPr>
        <w:rPr>
          <w:sz w:val="2"/>
          <w:szCs w:val="2"/>
        </w:rPr>
      </w:pPr>
    </w:p>
    <w:p w:rsidR="00E42621" w:rsidRPr="0030163D" w:rsidRDefault="00E42621" w:rsidP="00562C46">
      <w:pPr>
        <w:ind w:firstLine="709"/>
        <w:jc w:val="center"/>
        <w:rPr>
          <w:rFonts w:eastAsiaTheme="minorEastAsia"/>
          <w:color w:val="000000" w:themeColor="text1"/>
          <w:sz w:val="8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30163D" w:rsidTr="005212C5">
        <w:trPr>
          <w:jc w:val="center"/>
        </w:trPr>
        <w:tc>
          <w:tcPr>
            <w:tcW w:w="5000" w:type="pct"/>
          </w:tcPr>
          <w:p w:rsidR="002B3F71" w:rsidRPr="0030163D" w:rsidRDefault="00803856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30163D">
              <w:rPr>
                <w:rFonts w:eastAsiaTheme="minorEastAsia"/>
                <w:color w:val="000000" w:themeColor="text1"/>
                <w:lang w:eastAsia="en-US"/>
              </w:rPr>
              <w:t xml:space="preserve">Про внесення </w:t>
            </w:r>
            <w:r w:rsidR="00025D59" w:rsidRPr="0030163D">
              <w:rPr>
                <w:rFonts w:eastAsiaTheme="minorEastAsia"/>
                <w:color w:val="000000" w:themeColor="text1"/>
                <w:lang w:eastAsia="en-US"/>
              </w:rPr>
              <w:t xml:space="preserve">змін </w:t>
            </w:r>
            <w:r w:rsidRPr="0030163D">
              <w:rPr>
                <w:rFonts w:eastAsiaTheme="minorEastAsia"/>
                <w:color w:val="000000" w:themeColor="text1"/>
                <w:lang w:eastAsia="en-US"/>
              </w:rPr>
              <w:t>до Положення про критерії та порядок відбору банків, які можуть залучатися до зберігання запасів готівки Національного банку України</w:t>
            </w:r>
            <w:r w:rsidR="00664437" w:rsidRPr="0030163D">
              <w:rPr>
                <w:rFonts w:eastAsiaTheme="minorEastAsia"/>
                <w:color w:val="000000" w:themeColor="text1"/>
                <w:lang w:eastAsia="en-US"/>
              </w:rPr>
              <w:t xml:space="preserve"> та здійснення операцій з ними</w:t>
            </w:r>
          </w:p>
        </w:tc>
      </w:tr>
    </w:tbl>
    <w:p w:rsidR="00E53CCD" w:rsidRPr="0030163D" w:rsidRDefault="00803856" w:rsidP="00765C83">
      <w:pPr>
        <w:pStyle w:val="af5"/>
        <w:ind w:firstLine="708"/>
        <w:rPr>
          <w:b/>
          <w:sz w:val="28"/>
          <w:szCs w:val="28"/>
        </w:rPr>
      </w:pPr>
      <w:r w:rsidRPr="0030163D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Відповідно до статей 7, 15, 33 та 56 Закону України “Про Національний банк України”, з метою </w:t>
      </w:r>
      <w:bookmarkStart w:id="0" w:name="_GoBack"/>
      <w:bookmarkEnd w:id="0"/>
      <w:r w:rsidR="005A0F72" w:rsidRPr="0030163D">
        <w:rPr>
          <w:rFonts w:eastAsiaTheme="minorEastAsia"/>
          <w:color w:val="000000" w:themeColor="text1"/>
          <w:sz w:val="28"/>
          <w:szCs w:val="28"/>
          <w:lang w:eastAsia="en-US"/>
        </w:rPr>
        <w:t>розвитку делегованої моделі організації готівкового обігу в Україні</w:t>
      </w:r>
      <w:r w:rsidR="0086536A" w:rsidRPr="0030163D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та </w:t>
      </w:r>
      <w:r w:rsidR="00765C83" w:rsidRPr="0030163D">
        <w:rPr>
          <w:sz w:val="28"/>
          <w:szCs w:val="28"/>
        </w:rPr>
        <w:t xml:space="preserve">вдосконалення критеріїв та порядку відбору банків, які можуть залучатися до зберігання запасів готівки Національного банку України та здійснення операцій з ними, </w:t>
      </w:r>
      <w:r w:rsidR="00115ECF" w:rsidRPr="0030163D">
        <w:rPr>
          <w:sz w:val="28"/>
          <w:szCs w:val="28"/>
        </w:rPr>
        <w:t xml:space="preserve">Правління Національного банку </w:t>
      </w:r>
      <w:r w:rsidR="00562C46" w:rsidRPr="0030163D">
        <w:rPr>
          <w:sz w:val="28"/>
          <w:szCs w:val="28"/>
        </w:rPr>
        <w:t>України</w:t>
      </w:r>
      <w:r w:rsidR="00562C46" w:rsidRPr="0030163D">
        <w:rPr>
          <w:b/>
          <w:sz w:val="28"/>
          <w:szCs w:val="28"/>
        </w:rPr>
        <w:t xml:space="preserve"> </w:t>
      </w:r>
      <w:r w:rsidR="00FA508E" w:rsidRPr="0030163D">
        <w:rPr>
          <w:b/>
          <w:sz w:val="28"/>
          <w:szCs w:val="28"/>
        </w:rPr>
        <w:t>постановляє:</w:t>
      </w:r>
    </w:p>
    <w:p w:rsidR="00803856" w:rsidRPr="0030163D" w:rsidRDefault="00AD7DF9" w:rsidP="00803856">
      <w:pPr>
        <w:spacing w:before="240" w:after="240"/>
        <w:ind w:firstLine="709"/>
      </w:pPr>
      <w:r w:rsidRPr="0030163D">
        <w:t>1. </w:t>
      </w:r>
      <w:proofErr w:type="spellStart"/>
      <w:r w:rsidR="00803856" w:rsidRPr="0030163D">
        <w:t>Унести</w:t>
      </w:r>
      <w:proofErr w:type="spellEnd"/>
      <w:r w:rsidR="00803856" w:rsidRPr="0030163D">
        <w:t xml:space="preserve"> до Положення про критерії та порядок відбору банків, які можуть залучатися до зберігання запасів готівки Національного банку України та здійснення операцій з ними, затвердженого постановою Правління Національного банку України від 28 вересня 2016 року №</w:t>
      </w:r>
      <w:r w:rsidR="00025D59" w:rsidRPr="0030163D">
        <w:t> </w:t>
      </w:r>
      <w:r w:rsidR="00803856" w:rsidRPr="0030163D">
        <w:t>389 (зі змінами), такі зміни:</w:t>
      </w:r>
    </w:p>
    <w:p w:rsidR="00803856" w:rsidRPr="0030163D" w:rsidRDefault="00803856" w:rsidP="00803856">
      <w:pPr>
        <w:pStyle w:val="ab"/>
        <w:ind w:firstLine="708"/>
      </w:pPr>
      <w:r w:rsidRPr="0030163D">
        <w:t>1) у пункті 2:</w:t>
      </w:r>
    </w:p>
    <w:p w:rsidR="00803856" w:rsidRPr="0030163D" w:rsidRDefault="00803856" w:rsidP="00803856">
      <w:pPr>
        <w:pStyle w:val="ab"/>
        <w:ind w:firstLine="708"/>
      </w:pPr>
      <w:r w:rsidRPr="0030163D">
        <w:t>у підпункт</w:t>
      </w:r>
      <w:r w:rsidR="00F01AB0" w:rsidRPr="0030163D">
        <w:t>і</w:t>
      </w:r>
      <w:r w:rsidRPr="0030163D">
        <w:t xml:space="preserve"> 14 слова “отриманих підкріплень” замінити словами “отриманої готівки”;</w:t>
      </w:r>
    </w:p>
    <w:p w:rsidR="00803856" w:rsidRPr="0030163D" w:rsidRDefault="00803856" w:rsidP="00803856">
      <w:pPr>
        <w:pStyle w:val="ab"/>
        <w:ind w:firstLine="708"/>
      </w:pPr>
      <w:r w:rsidRPr="0030163D">
        <w:t>підпункт 18 викласти в такій редакції:</w:t>
      </w:r>
    </w:p>
    <w:p w:rsidR="00803856" w:rsidRPr="0030163D" w:rsidRDefault="00803856" w:rsidP="00803856">
      <w:pPr>
        <w:pStyle w:val="ab"/>
        <w:ind w:firstLine="708"/>
      </w:pPr>
      <w:r w:rsidRPr="0030163D">
        <w:t>“18) зобов’язання банку:</w:t>
      </w:r>
    </w:p>
    <w:p w:rsidR="00803856" w:rsidRPr="0030163D" w:rsidRDefault="00576210" w:rsidP="00237F27">
      <w:pPr>
        <w:pStyle w:val="ab"/>
        <w:ind w:firstLine="708"/>
      </w:pPr>
      <w:r w:rsidRPr="0030163D">
        <w:t xml:space="preserve">зберігання запасів готівки Національного банку в сумі не менше одного мільярда гривень у цілому на банк до кінця першого року з дати отримання статусу уповноваженого банку. </w:t>
      </w:r>
      <w:r w:rsidR="006B2C38" w:rsidRPr="0030163D">
        <w:t>У подальші роки</w:t>
      </w:r>
      <w:r w:rsidRPr="0030163D">
        <w:t xml:space="preserve"> діяльності у статусі уповноваженого банку в сумі не менше одного мільярда гривень у цілому на банк, яка розраховується як мінімальна середньомісячна сума залишку запасів готівки на зберіганні протягом календарного року</w:t>
      </w:r>
      <w:r w:rsidR="00803856" w:rsidRPr="0030163D">
        <w:t xml:space="preserve">; </w:t>
      </w:r>
    </w:p>
    <w:p w:rsidR="00803856" w:rsidRPr="0030163D" w:rsidRDefault="00803856" w:rsidP="005F378E">
      <w:pPr>
        <w:ind w:firstLine="709"/>
      </w:pPr>
      <w:r w:rsidRPr="0030163D">
        <w:t>забезпечити наявність щонайменше одного відокремленого підрозділу уповноваженого банку в регіоні для зберігання запасів готівки не менше ніж у 30% областей протягом двох років діяльності у статусі уповноваженого банку, у 60% областей протягом чотирьох років діяльності у статусі уповноваженого банку, у 80</w:t>
      </w:r>
      <w:r w:rsidR="00025D59" w:rsidRPr="0030163D">
        <w:t>−</w:t>
      </w:r>
      <w:r w:rsidRPr="0030163D">
        <w:t>100% областей протягом шести років діяльності у статусі уповноваженого банку.”;</w:t>
      </w:r>
    </w:p>
    <w:p w:rsidR="000B0D22" w:rsidRPr="0030163D" w:rsidRDefault="000B0D22" w:rsidP="005F378E">
      <w:pPr>
        <w:ind w:firstLine="709"/>
      </w:pPr>
    </w:p>
    <w:p w:rsidR="00803856" w:rsidRPr="0030163D" w:rsidRDefault="00803856" w:rsidP="00803856">
      <w:pPr>
        <w:pStyle w:val="ab"/>
        <w:ind w:firstLine="708"/>
      </w:pPr>
      <w:r w:rsidRPr="0030163D">
        <w:t>2) пункт 6 викласти в такій редакції:</w:t>
      </w:r>
    </w:p>
    <w:p w:rsidR="00803856" w:rsidRPr="0030163D" w:rsidRDefault="00803856" w:rsidP="000B0D22">
      <w:pPr>
        <w:pStyle w:val="ab"/>
        <w:ind w:firstLine="708"/>
      </w:pPr>
      <w:r w:rsidRPr="0030163D">
        <w:t xml:space="preserve">“6. Прийняте рішення Правління Національного банку про надання статусу уповноваженого банку є підставою для встановлення ліміту на зберігання та укладення із цим банком договору про зберігання запасів готівки Національного банку та проведення операцій з ними відповідно до вимог нормативно-правового </w:t>
      </w:r>
      <w:proofErr w:type="spellStart"/>
      <w:r w:rsidRPr="0030163D">
        <w:t>акта</w:t>
      </w:r>
      <w:proofErr w:type="spellEnd"/>
      <w:r w:rsidRPr="0030163D">
        <w:t xml:space="preserve"> Національного банку з питань передавання запасів готівки на зберігання до уповноважених банків та проведення операцій з ними.</w:t>
      </w:r>
    </w:p>
    <w:p w:rsidR="00803856" w:rsidRPr="0030163D" w:rsidRDefault="00803856" w:rsidP="005F378E">
      <w:pPr>
        <w:ind w:firstLine="709"/>
      </w:pPr>
      <w:r w:rsidRPr="0030163D">
        <w:t xml:space="preserve">Договір про зберігання запасів готівки Національного банку та проведення операцій з ними має містити  домовленість у письмовій формі між Національним банком та уповноваженим банком, в якому обумовлюються права, обов’язки, зобов’язання, відповідальність сторін, порядок розрахунків, внутрішній контроль та аудит, забезпечення виконання зобов’язань (застава), відповідно до вимог нормативно-правового </w:t>
      </w:r>
      <w:proofErr w:type="spellStart"/>
      <w:r w:rsidRPr="0030163D">
        <w:t>акта</w:t>
      </w:r>
      <w:proofErr w:type="spellEnd"/>
      <w:r w:rsidRPr="0030163D">
        <w:t xml:space="preserve"> Національного банку з питань передавання запасів готівки на зберігання до уповноважених банків та проведення операцій з ними.”;</w:t>
      </w:r>
    </w:p>
    <w:p w:rsidR="00803856" w:rsidRPr="0030163D" w:rsidRDefault="00803856" w:rsidP="00803856">
      <w:pPr>
        <w:spacing w:before="240" w:after="240"/>
        <w:ind w:firstLine="709"/>
      </w:pPr>
      <w:r w:rsidRPr="0030163D">
        <w:t>3) в абзаці першому пункту 7 слова “відповідної постанови, яка оприлюднена” замінити словами “відповідного рішення, яке оприлюднено”;</w:t>
      </w:r>
    </w:p>
    <w:p w:rsidR="00803856" w:rsidRPr="0030163D" w:rsidRDefault="00803856" w:rsidP="00803856">
      <w:pPr>
        <w:pStyle w:val="ab"/>
        <w:ind w:firstLine="708"/>
      </w:pPr>
      <w:r w:rsidRPr="0030163D">
        <w:t>4) у пункті 8:</w:t>
      </w:r>
    </w:p>
    <w:p w:rsidR="00803856" w:rsidRPr="0030163D" w:rsidRDefault="00803856" w:rsidP="006B6B13">
      <w:pPr>
        <w:pStyle w:val="ab"/>
        <w:ind w:firstLine="708"/>
      </w:pPr>
      <w:r w:rsidRPr="0030163D">
        <w:t>в абзаці першому слово “постанови” замінити словом “рішення”;</w:t>
      </w:r>
    </w:p>
    <w:p w:rsidR="00803856" w:rsidRPr="0030163D" w:rsidRDefault="00803856">
      <w:pPr>
        <w:ind w:firstLine="709"/>
      </w:pPr>
      <w:r w:rsidRPr="0030163D">
        <w:t>пункт доповнити трьома новими підпунктами такого змісту:</w:t>
      </w:r>
    </w:p>
    <w:p w:rsidR="00803856" w:rsidRPr="0030163D" w:rsidRDefault="00803856" w:rsidP="006B2C38">
      <w:pPr>
        <w:ind w:firstLine="709"/>
      </w:pPr>
      <w:r w:rsidRPr="0030163D">
        <w:t xml:space="preserve">“5) невиконання уповноваженим банком </w:t>
      </w:r>
      <w:r w:rsidR="00862A15" w:rsidRPr="0030163D">
        <w:t xml:space="preserve">узятих </w:t>
      </w:r>
      <w:r w:rsidRPr="0030163D">
        <w:t xml:space="preserve">на себе зобов’язань, які визначені </w:t>
      </w:r>
      <w:r w:rsidR="00862A15" w:rsidRPr="0030163D">
        <w:t xml:space="preserve">в </w:t>
      </w:r>
      <w:r w:rsidRPr="0030163D">
        <w:t>підпункт</w:t>
      </w:r>
      <w:r w:rsidR="00862A15" w:rsidRPr="0030163D">
        <w:t>і</w:t>
      </w:r>
      <w:r w:rsidRPr="0030163D">
        <w:t xml:space="preserve"> 18 пункту 2 цього Положення;</w:t>
      </w:r>
    </w:p>
    <w:p w:rsidR="00F107F5" w:rsidRPr="0030163D" w:rsidRDefault="00F107F5" w:rsidP="00C66B5D">
      <w:pPr>
        <w:ind w:firstLine="708"/>
      </w:pPr>
    </w:p>
    <w:p w:rsidR="00C66B5D" w:rsidRPr="0030163D" w:rsidRDefault="00803856" w:rsidP="00C66B5D">
      <w:pPr>
        <w:ind w:firstLine="708"/>
        <w:rPr>
          <w:bCs/>
        </w:rPr>
      </w:pPr>
      <w:r w:rsidRPr="0030163D">
        <w:t xml:space="preserve">6) </w:t>
      </w:r>
      <w:r w:rsidR="00C66B5D" w:rsidRPr="0030163D">
        <w:rPr>
          <w:bCs/>
        </w:rPr>
        <w:t>виявлення</w:t>
      </w:r>
      <w:r w:rsidR="00D069E2" w:rsidRPr="0030163D">
        <w:rPr>
          <w:bCs/>
        </w:rPr>
        <w:t>, включаючи</w:t>
      </w:r>
      <w:r w:rsidR="00C66B5D" w:rsidRPr="0030163D">
        <w:rPr>
          <w:bCs/>
        </w:rPr>
        <w:t xml:space="preserve"> результати моніторингу</w:t>
      </w:r>
      <w:r w:rsidR="00862A15" w:rsidRPr="0030163D">
        <w:rPr>
          <w:bCs/>
        </w:rPr>
        <w:t>,</w:t>
      </w:r>
      <w:r w:rsidR="00C66B5D" w:rsidRPr="0030163D">
        <w:rPr>
          <w:bCs/>
        </w:rPr>
        <w:t xml:space="preserve"> Національним банком інформації з відкритих джерел про факти застосування  іноземними державами (крім держави, що здійснює збройну агресію проти України), міждержавними </w:t>
      </w:r>
      <w:r w:rsidR="00F107F5" w:rsidRPr="0030163D">
        <w:rPr>
          <w:bCs/>
        </w:rPr>
        <w:t>об’єднаннями</w:t>
      </w:r>
      <w:r w:rsidR="00C66B5D" w:rsidRPr="0030163D">
        <w:rPr>
          <w:bCs/>
        </w:rPr>
        <w:t>, міжнародними організаціями або Україною санкцій до уповноваженого банку та/або до власників істотної участі в ньому;</w:t>
      </w:r>
    </w:p>
    <w:p w:rsidR="00803856" w:rsidRPr="0030163D" w:rsidRDefault="00803856" w:rsidP="00803856">
      <w:pPr>
        <w:spacing w:before="240" w:after="240"/>
        <w:ind w:firstLine="709"/>
      </w:pPr>
      <w:r w:rsidRPr="0030163D">
        <w:t xml:space="preserve">7) не розпочато діяльність </w:t>
      </w:r>
      <w:r w:rsidR="00F107F5" w:rsidRPr="0030163D">
        <w:t xml:space="preserve">у </w:t>
      </w:r>
      <w:r w:rsidRPr="0030163D">
        <w:t xml:space="preserve">статусі уповноваженого банку протягом 12 місяців </w:t>
      </w:r>
      <w:r w:rsidR="00F107F5" w:rsidRPr="0030163D">
        <w:t>і</w:t>
      </w:r>
      <w:r w:rsidRPr="0030163D">
        <w:t>з дня оприлюднення на сторінках офіційного Інтернет-представництва Національного банку рішення Правління Національного банку про надання банку статусу уповноваженого.”;</w:t>
      </w:r>
    </w:p>
    <w:p w:rsidR="00803856" w:rsidRPr="0030163D" w:rsidRDefault="00803856" w:rsidP="00803856">
      <w:pPr>
        <w:pStyle w:val="ab"/>
        <w:ind w:firstLine="708"/>
      </w:pPr>
      <w:r w:rsidRPr="0030163D">
        <w:t>5) Положення доповнити новим пунктом  такого змісту:</w:t>
      </w:r>
    </w:p>
    <w:p w:rsidR="00AD7DF9" w:rsidRPr="0030163D" w:rsidRDefault="00803856" w:rsidP="00803856">
      <w:pPr>
        <w:pStyle w:val="ab"/>
        <w:ind w:firstLine="708"/>
        <w:rPr>
          <w:rFonts w:eastAsiaTheme="minorEastAsia"/>
          <w:noProof/>
          <w:color w:val="000000" w:themeColor="text1"/>
          <w:lang w:eastAsia="en-US"/>
        </w:rPr>
      </w:pPr>
      <w:r w:rsidRPr="0030163D">
        <w:t>“9. Національний банк у разі припинення дії рішення Правління Національного банку про надання статусу уповноваженого банку не розглядає повторне звернення цього банку для участі у відборі банків, які можуть залучатися до зберігання запасів готівки Національного банку та проведення операцій з ними</w:t>
      </w:r>
      <w:r w:rsidR="00862A15" w:rsidRPr="0030163D">
        <w:t>,</w:t>
      </w:r>
      <w:r w:rsidRPr="0030163D">
        <w:t xml:space="preserve"> протягом 12 місяців </w:t>
      </w:r>
      <w:r w:rsidR="00F107F5" w:rsidRPr="0030163D">
        <w:t>і</w:t>
      </w:r>
      <w:r w:rsidRPr="0030163D">
        <w:t>з дня припинення дії рішення Правління Національного банку про надання статусу уповноваженого банку.”.</w:t>
      </w:r>
    </w:p>
    <w:p w:rsidR="00AD7DF9" w:rsidRPr="0030163D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30163D">
        <w:rPr>
          <w:rFonts w:eastAsiaTheme="minorEastAsia"/>
          <w:noProof/>
          <w:color w:val="000000" w:themeColor="text1"/>
          <w:lang w:eastAsia="en-US"/>
        </w:rPr>
        <w:lastRenderedPageBreak/>
        <w:t>2. </w:t>
      </w:r>
      <w:r w:rsidR="00715385" w:rsidRPr="0030163D">
        <w:rPr>
          <w:rFonts w:eastAsiaTheme="minorEastAsia"/>
          <w:noProof/>
          <w:color w:val="000000" w:themeColor="text1"/>
          <w:lang w:eastAsia="en-US"/>
        </w:rPr>
        <w:t>Департаменту грошового обігу (Віктор Зайвенко) після офіційного опублікування довести до відома банків України інформацію про прийняття цієї постанови.</w:t>
      </w:r>
    </w:p>
    <w:p w:rsidR="00AD7DF9" w:rsidRPr="0030163D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30163D">
        <w:rPr>
          <w:rFonts w:eastAsiaTheme="minorEastAsia"/>
          <w:noProof/>
          <w:color w:val="000000" w:themeColor="text1"/>
          <w:lang w:eastAsia="en-US"/>
        </w:rPr>
        <w:t>3. </w:t>
      </w:r>
      <w:r w:rsidR="00715385" w:rsidRPr="0030163D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Шабана.</w:t>
      </w:r>
    </w:p>
    <w:p w:rsidR="00AD7DF9" w:rsidRPr="0030163D" w:rsidRDefault="00AD7DF9" w:rsidP="00715385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30163D">
        <w:rPr>
          <w:rFonts w:eastAsiaTheme="minorEastAsia"/>
          <w:noProof/>
          <w:color w:val="000000" w:themeColor="text1"/>
          <w:lang w:eastAsia="en-US"/>
        </w:rPr>
        <w:t>4</w:t>
      </w:r>
      <w:r w:rsidR="00715385" w:rsidRPr="0030163D">
        <w:rPr>
          <w:rFonts w:eastAsiaTheme="minorEastAsia"/>
          <w:noProof/>
          <w:color w:val="000000" w:themeColor="text1"/>
          <w:lang w:eastAsia="en-US"/>
        </w:rPr>
        <w:t>. Постанова набирає чинності з дня, наступного за днем її офіційного опублікування.</w:t>
      </w:r>
      <w:r w:rsidRPr="0030163D">
        <w:rPr>
          <w:rFonts w:eastAsiaTheme="minorEastAsia"/>
          <w:noProof/>
          <w:color w:val="000000" w:themeColor="text1"/>
          <w:lang w:eastAsia="en-US"/>
        </w:rPr>
        <w:t> </w:t>
      </w:r>
      <w:r w:rsidR="00715385" w:rsidRPr="0030163D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:rsidR="00E42621" w:rsidRPr="0030163D" w:rsidRDefault="00E42621" w:rsidP="00E42621">
      <w:pPr>
        <w:tabs>
          <w:tab w:val="left" w:pos="993"/>
        </w:tabs>
        <w:spacing w:after="120"/>
      </w:pPr>
    </w:p>
    <w:p w:rsidR="0095741D" w:rsidRPr="0030163D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30163D" w:rsidTr="00BD6D34">
        <w:tc>
          <w:tcPr>
            <w:tcW w:w="5495" w:type="dxa"/>
            <w:vAlign w:val="bottom"/>
          </w:tcPr>
          <w:p w:rsidR="00DD60CC" w:rsidRPr="0030163D" w:rsidRDefault="00715385" w:rsidP="00715385">
            <w:pPr>
              <w:autoSpaceDE w:val="0"/>
              <w:autoSpaceDN w:val="0"/>
              <w:jc w:val="left"/>
            </w:pPr>
            <w:r w:rsidRPr="0030163D">
              <w:t>Голова</w:t>
            </w:r>
          </w:p>
        </w:tc>
        <w:tc>
          <w:tcPr>
            <w:tcW w:w="4252" w:type="dxa"/>
            <w:vAlign w:val="bottom"/>
          </w:tcPr>
          <w:p w:rsidR="00DD60CC" w:rsidRPr="0030163D" w:rsidRDefault="00715385" w:rsidP="0071538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30163D">
              <w:t>Кирило ШЕВЧЕНКО</w:t>
            </w:r>
          </w:p>
        </w:tc>
      </w:tr>
    </w:tbl>
    <w:p w:rsidR="008D10FD" w:rsidRPr="0030163D" w:rsidRDefault="008D10FD" w:rsidP="00E53CCD"/>
    <w:p w:rsidR="00FA508E" w:rsidRPr="0030163D" w:rsidRDefault="00FA508E" w:rsidP="00E53CCD"/>
    <w:p w:rsidR="00FA508E" w:rsidRPr="0030163D" w:rsidRDefault="00FA508E" w:rsidP="00FA508E">
      <w:pPr>
        <w:jc w:val="left"/>
      </w:pPr>
      <w:r w:rsidRPr="0030163D">
        <w:t>Інд.</w:t>
      </w:r>
      <w:r w:rsidRPr="0030163D">
        <w:rPr>
          <w:sz w:val="22"/>
          <w:szCs w:val="22"/>
        </w:rPr>
        <w:t xml:space="preserve"> </w:t>
      </w:r>
      <w:r w:rsidR="00715385" w:rsidRPr="0030163D">
        <w:t>50</w:t>
      </w:r>
    </w:p>
    <w:sectPr w:rsidR="00FA508E" w:rsidRPr="0030163D" w:rsidSect="006B2C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FA" w:rsidRDefault="008727FA" w:rsidP="00E53CCD">
      <w:r>
        <w:separator/>
      </w:r>
    </w:p>
  </w:endnote>
  <w:endnote w:type="continuationSeparator" w:id="0">
    <w:p w:rsidR="008727FA" w:rsidRDefault="008727F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05" w:rsidRDefault="001911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05" w:rsidRDefault="001911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FA" w:rsidRDefault="008727FA" w:rsidP="00E53CCD">
      <w:r>
        <w:separator/>
      </w:r>
    </w:p>
  </w:footnote>
  <w:footnote w:type="continuationSeparator" w:id="0">
    <w:p w:rsidR="008727FA" w:rsidRDefault="008727F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05" w:rsidRDefault="001911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191105">
          <w:rPr>
            <w:noProof/>
          </w:rPr>
          <w:t>3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35" w:rsidRDefault="00BB1035" w:rsidP="00117F71">
    <w:pPr>
      <w:pStyle w:val="a5"/>
      <w:jc w:val="right"/>
    </w:pPr>
    <w:r>
      <w:t>Офіційно опубліковано 30.09.2021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5D59"/>
    <w:rsid w:val="0003331E"/>
    <w:rsid w:val="000342A5"/>
    <w:rsid w:val="0003793C"/>
    <w:rsid w:val="000543C6"/>
    <w:rsid w:val="000600A8"/>
    <w:rsid w:val="00061C52"/>
    <w:rsid w:val="00063480"/>
    <w:rsid w:val="000638F2"/>
    <w:rsid w:val="000B0D22"/>
    <w:rsid w:val="000B2990"/>
    <w:rsid w:val="000C073E"/>
    <w:rsid w:val="000D37F4"/>
    <w:rsid w:val="000D778F"/>
    <w:rsid w:val="000E0CB3"/>
    <w:rsid w:val="000E3F88"/>
    <w:rsid w:val="000E5B8C"/>
    <w:rsid w:val="000E7A13"/>
    <w:rsid w:val="000F7CFA"/>
    <w:rsid w:val="00103187"/>
    <w:rsid w:val="00106229"/>
    <w:rsid w:val="00115ECF"/>
    <w:rsid w:val="00117F71"/>
    <w:rsid w:val="00120789"/>
    <w:rsid w:val="001631E2"/>
    <w:rsid w:val="001716B0"/>
    <w:rsid w:val="001740C0"/>
    <w:rsid w:val="00182198"/>
    <w:rsid w:val="00190E1A"/>
    <w:rsid w:val="00191105"/>
    <w:rsid w:val="001A0EE5"/>
    <w:rsid w:val="001A16FA"/>
    <w:rsid w:val="001A4CB9"/>
    <w:rsid w:val="001A6795"/>
    <w:rsid w:val="001C206C"/>
    <w:rsid w:val="001D487A"/>
    <w:rsid w:val="002238D1"/>
    <w:rsid w:val="00233F37"/>
    <w:rsid w:val="00237F27"/>
    <w:rsid w:val="00241373"/>
    <w:rsid w:val="00253BF9"/>
    <w:rsid w:val="0025455E"/>
    <w:rsid w:val="00264983"/>
    <w:rsid w:val="00266678"/>
    <w:rsid w:val="00276988"/>
    <w:rsid w:val="00280A6E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0163D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B1F75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1718B"/>
    <w:rsid w:val="005212A1"/>
    <w:rsid w:val="005212C5"/>
    <w:rsid w:val="00523C13"/>
    <w:rsid w:val="00524F07"/>
    <w:rsid w:val="005257C2"/>
    <w:rsid w:val="00532633"/>
    <w:rsid w:val="005403F1"/>
    <w:rsid w:val="00542533"/>
    <w:rsid w:val="005435EB"/>
    <w:rsid w:val="0054378B"/>
    <w:rsid w:val="005624B6"/>
    <w:rsid w:val="00562C46"/>
    <w:rsid w:val="0057237F"/>
    <w:rsid w:val="00576210"/>
    <w:rsid w:val="00577402"/>
    <w:rsid w:val="005822CB"/>
    <w:rsid w:val="005862B2"/>
    <w:rsid w:val="00597AB6"/>
    <w:rsid w:val="005A0F4B"/>
    <w:rsid w:val="005A0F72"/>
    <w:rsid w:val="005A1D3C"/>
    <w:rsid w:val="005A1E03"/>
    <w:rsid w:val="005A3F34"/>
    <w:rsid w:val="005B2D03"/>
    <w:rsid w:val="005B44D2"/>
    <w:rsid w:val="005C5CBF"/>
    <w:rsid w:val="005D3B88"/>
    <w:rsid w:val="005D45F5"/>
    <w:rsid w:val="005E3FA8"/>
    <w:rsid w:val="005F378E"/>
    <w:rsid w:val="005F4CB4"/>
    <w:rsid w:val="005F6B35"/>
    <w:rsid w:val="00640612"/>
    <w:rsid w:val="0064227D"/>
    <w:rsid w:val="0065179F"/>
    <w:rsid w:val="00657593"/>
    <w:rsid w:val="00664437"/>
    <w:rsid w:val="00670C95"/>
    <w:rsid w:val="006925CE"/>
    <w:rsid w:val="00692C8C"/>
    <w:rsid w:val="006B2748"/>
    <w:rsid w:val="006B2C38"/>
    <w:rsid w:val="006B465F"/>
    <w:rsid w:val="006B6B13"/>
    <w:rsid w:val="006C06A1"/>
    <w:rsid w:val="006C0F22"/>
    <w:rsid w:val="006C13B1"/>
    <w:rsid w:val="006C4176"/>
    <w:rsid w:val="006C66EF"/>
    <w:rsid w:val="006D2617"/>
    <w:rsid w:val="006E4782"/>
    <w:rsid w:val="006F41EA"/>
    <w:rsid w:val="00700AA3"/>
    <w:rsid w:val="007142BA"/>
    <w:rsid w:val="00714823"/>
    <w:rsid w:val="00715385"/>
    <w:rsid w:val="00717197"/>
    <w:rsid w:val="0071789F"/>
    <w:rsid w:val="00720ECF"/>
    <w:rsid w:val="00730088"/>
    <w:rsid w:val="00747222"/>
    <w:rsid w:val="00750898"/>
    <w:rsid w:val="0076356A"/>
    <w:rsid w:val="00765C83"/>
    <w:rsid w:val="007668BB"/>
    <w:rsid w:val="00773559"/>
    <w:rsid w:val="0078127A"/>
    <w:rsid w:val="00783AF2"/>
    <w:rsid w:val="00787E46"/>
    <w:rsid w:val="007A6609"/>
    <w:rsid w:val="007B7B73"/>
    <w:rsid w:val="007C2CED"/>
    <w:rsid w:val="007F16F3"/>
    <w:rsid w:val="00802988"/>
    <w:rsid w:val="00803856"/>
    <w:rsid w:val="008178D6"/>
    <w:rsid w:val="008274C0"/>
    <w:rsid w:val="00832232"/>
    <w:rsid w:val="008415A0"/>
    <w:rsid w:val="0085364B"/>
    <w:rsid w:val="00862A15"/>
    <w:rsid w:val="0086536A"/>
    <w:rsid w:val="00866993"/>
    <w:rsid w:val="008727FA"/>
    <w:rsid w:val="00874366"/>
    <w:rsid w:val="008762D8"/>
    <w:rsid w:val="00897035"/>
    <w:rsid w:val="00897D96"/>
    <w:rsid w:val="008A600C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311A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D2F04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1510"/>
    <w:rsid w:val="00AE29BB"/>
    <w:rsid w:val="00AE2CAF"/>
    <w:rsid w:val="00AF33D9"/>
    <w:rsid w:val="00B002E4"/>
    <w:rsid w:val="00B245CB"/>
    <w:rsid w:val="00B332B2"/>
    <w:rsid w:val="00B34CCC"/>
    <w:rsid w:val="00B36EC7"/>
    <w:rsid w:val="00B36EDD"/>
    <w:rsid w:val="00B618FD"/>
    <w:rsid w:val="00B61C97"/>
    <w:rsid w:val="00B628C5"/>
    <w:rsid w:val="00B71933"/>
    <w:rsid w:val="00B8078D"/>
    <w:rsid w:val="00BB1035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66B5D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69E2"/>
    <w:rsid w:val="00D078B6"/>
    <w:rsid w:val="00D1022C"/>
    <w:rsid w:val="00D22C6F"/>
    <w:rsid w:val="00D27115"/>
    <w:rsid w:val="00D34DCC"/>
    <w:rsid w:val="00D61D9B"/>
    <w:rsid w:val="00DA2F09"/>
    <w:rsid w:val="00DA5EC1"/>
    <w:rsid w:val="00DA60A6"/>
    <w:rsid w:val="00DC1620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4708A"/>
    <w:rsid w:val="00E53CB5"/>
    <w:rsid w:val="00E53CCD"/>
    <w:rsid w:val="00E62607"/>
    <w:rsid w:val="00E71855"/>
    <w:rsid w:val="00E719A9"/>
    <w:rsid w:val="00E910D9"/>
    <w:rsid w:val="00EA1DE4"/>
    <w:rsid w:val="00EA60EA"/>
    <w:rsid w:val="00EB29BF"/>
    <w:rsid w:val="00EC4370"/>
    <w:rsid w:val="00EC7C7F"/>
    <w:rsid w:val="00EE1B30"/>
    <w:rsid w:val="00EF4B42"/>
    <w:rsid w:val="00F003D3"/>
    <w:rsid w:val="00F008AB"/>
    <w:rsid w:val="00F01AB0"/>
    <w:rsid w:val="00F03E32"/>
    <w:rsid w:val="00F107F5"/>
    <w:rsid w:val="00F23F9A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C26E5"/>
    <w:rsid w:val="00FD1365"/>
    <w:rsid w:val="00FD19F1"/>
    <w:rsid w:val="00FD370F"/>
    <w:rsid w:val="00FE0B90"/>
    <w:rsid w:val="00FE7ACE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B618FD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618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618FD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18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18FD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862A15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F1D90C-88DF-40C8-948E-6B9F1F1F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2021-09-29T06:26:00Z</dcterms:created>
  <dcterms:modified xsi:type="dcterms:W3CDTF">2021-09-29T06:26:00Z</dcterms:modified>
</cp:coreProperties>
</file>