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2F6B9" w14:textId="77777777" w:rsidR="00FA7846" w:rsidRPr="007B4A79" w:rsidRDefault="00FA7846" w:rsidP="00FA7846">
      <w:pPr>
        <w:rPr>
          <w:sz w:val="2"/>
          <w:szCs w:val="2"/>
        </w:rPr>
      </w:pPr>
      <w:bookmarkStart w:id="0" w:name="_GoBack"/>
      <w:bookmarkEnd w:id="0"/>
    </w:p>
    <w:p w14:paraId="01AE50EB"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57593" w14:paraId="319EB3FB" w14:textId="77777777" w:rsidTr="00E054A9">
        <w:trPr>
          <w:trHeight w:val="851"/>
        </w:trPr>
        <w:tc>
          <w:tcPr>
            <w:tcW w:w="3284" w:type="dxa"/>
          </w:tcPr>
          <w:p w14:paraId="17630171" w14:textId="77777777" w:rsidR="00657593" w:rsidRDefault="00657593" w:rsidP="00E054A9"/>
        </w:tc>
        <w:tc>
          <w:tcPr>
            <w:tcW w:w="3285" w:type="dxa"/>
            <w:vMerge w:val="restart"/>
          </w:tcPr>
          <w:p w14:paraId="4C3B1D20" w14:textId="77777777"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6.5pt" o:ole="">
                  <v:imagedata r:id="rId9" o:title=""/>
                </v:shape>
                <o:OLEObject Type="Embed" ProgID="CorelDraw.Graphic.16" ShapeID="_x0000_i1025" DrawAspect="Content" ObjectID="_1688304650" r:id="rId10"/>
              </w:object>
            </w:r>
          </w:p>
        </w:tc>
        <w:tc>
          <w:tcPr>
            <w:tcW w:w="3285" w:type="dxa"/>
          </w:tcPr>
          <w:p w14:paraId="12D933A3" w14:textId="77777777" w:rsidR="00657593" w:rsidRDefault="00657593" w:rsidP="00E054A9"/>
        </w:tc>
      </w:tr>
      <w:tr w:rsidR="00657593" w14:paraId="1DFD65B8" w14:textId="77777777" w:rsidTr="00E054A9">
        <w:tc>
          <w:tcPr>
            <w:tcW w:w="3284" w:type="dxa"/>
          </w:tcPr>
          <w:p w14:paraId="306B6DC4" w14:textId="77777777" w:rsidR="00657593" w:rsidRDefault="00657593" w:rsidP="00E054A9"/>
        </w:tc>
        <w:tc>
          <w:tcPr>
            <w:tcW w:w="3285" w:type="dxa"/>
            <w:vMerge/>
          </w:tcPr>
          <w:p w14:paraId="245EB9EB" w14:textId="77777777" w:rsidR="00657593" w:rsidRDefault="00657593" w:rsidP="00E054A9"/>
        </w:tc>
        <w:tc>
          <w:tcPr>
            <w:tcW w:w="3285" w:type="dxa"/>
          </w:tcPr>
          <w:p w14:paraId="610F2B4F" w14:textId="77777777" w:rsidR="00657593" w:rsidRDefault="00657593" w:rsidP="00E054A9"/>
        </w:tc>
      </w:tr>
      <w:tr w:rsidR="00657593" w14:paraId="293E5551" w14:textId="77777777" w:rsidTr="00E054A9">
        <w:tc>
          <w:tcPr>
            <w:tcW w:w="9854" w:type="dxa"/>
            <w:gridSpan w:val="3"/>
          </w:tcPr>
          <w:p w14:paraId="1D340C87"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0D151DC" w14:textId="77777777" w:rsidR="00657593" w:rsidRDefault="00657593" w:rsidP="00E054A9">
            <w:pPr>
              <w:jc w:val="center"/>
            </w:pPr>
            <w:r w:rsidRPr="00E10F0A">
              <w:rPr>
                <w:b/>
                <w:bCs/>
                <w:color w:val="006600"/>
                <w:sz w:val="32"/>
                <w:szCs w:val="32"/>
              </w:rPr>
              <w:t>П О С Т А Н О В А</w:t>
            </w:r>
          </w:p>
        </w:tc>
      </w:tr>
    </w:tbl>
    <w:p w14:paraId="575BC99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2637"/>
        <w:gridCol w:w="1669"/>
        <w:gridCol w:w="1895"/>
      </w:tblGrid>
      <w:tr w:rsidR="00657593" w14:paraId="6AE0F1AB" w14:textId="77777777" w:rsidTr="00AB062E">
        <w:tc>
          <w:tcPr>
            <w:tcW w:w="3510" w:type="dxa"/>
            <w:vAlign w:val="bottom"/>
          </w:tcPr>
          <w:p w14:paraId="77514C11" w14:textId="21C3FBBB" w:rsidR="00657593" w:rsidRPr="003F563D" w:rsidRDefault="003F563D" w:rsidP="00E054A9">
            <w:r>
              <w:rPr>
                <w:lang w:val="en-US"/>
              </w:rPr>
              <w:t xml:space="preserve">29 </w:t>
            </w:r>
            <w:r>
              <w:t>червня 2021 року</w:t>
            </w:r>
          </w:p>
        </w:tc>
        <w:tc>
          <w:tcPr>
            <w:tcW w:w="2694" w:type="dxa"/>
          </w:tcPr>
          <w:p w14:paraId="04E01A72" w14:textId="77777777" w:rsidR="00657593" w:rsidRDefault="00657593" w:rsidP="00E62607">
            <w:pPr>
              <w:spacing w:before="240"/>
              <w:jc w:val="center"/>
            </w:pPr>
            <w:r w:rsidRPr="00E10F0A">
              <w:rPr>
                <w:color w:val="006600"/>
              </w:rPr>
              <w:t>м. Київ</w:t>
            </w:r>
          </w:p>
        </w:tc>
        <w:tc>
          <w:tcPr>
            <w:tcW w:w="1713" w:type="dxa"/>
            <w:vAlign w:val="bottom"/>
          </w:tcPr>
          <w:p w14:paraId="24633B0B" w14:textId="1A7BC687" w:rsidR="00657593" w:rsidRPr="003F563D" w:rsidRDefault="00657593" w:rsidP="00E62607">
            <w:pPr>
              <w:jc w:val="right"/>
            </w:pPr>
          </w:p>
        </w:tc>
        <w:tc>
          <w:tcPr>
            <w:tcW w:w="1937" w:type="dxa"/>
            <w:vAlign w:val="bottom"/>
          </w:tcPr>
          <w:p w14:paraId="0DDCCE3F" w14:textId="20EF59D2" w:rsidR="00657593" w:rsidRPr="003F563D" w:rsidRDefault="003F563D" w:rsidP="00D43518">
            <w:pPr>
              <w:jc w:val="left"/>
            </w:pPr>
            <w:r w:rsidRPr="003F563D">
              <w:t xml:space="preserve">№ </w:t>
            </w:r>
            <w:r>
              <w:t>6</w:t>
            </w:r>
            <w:r w:rsidR="00D43518">
              <w:t>2</w:t>
            </w:r>
          </w:p>
        </w:tc>
      </w:tr>
    </w:tbl>
    <w:p w14:paraId="52A42275" w14:textId="77777777" w:rsidR="00657593" w:rsidRPr="00CD0CD4" w:rsidRDefault="00657593" w:rsidP="00657593">
      <w:pPr>
        <w:rPr>
          <w:sz w:val="2"/>
          <w:szCs w:val="2"/>
        </w:rPr>
      </w:pPr>
    </w:p>
    <w:p w14:paraId="4ECD3FB6" w14:textId="58D99CBD" w:rsidR="002A4BA3" w:rsidRDefault="002A4BA3" w:rsidP="00EA1435">
      <w:pPr>
        <w:jc w:val="center"/>
        <w:rPr>
          <w:rFonts w:eastAsiaTheme="minorEastAsia"/>
          <w:color w:val="000000" w:themeColor="text1"/>
          <w:lang w:eastAsia="en-US"/>
        </w:rPr>
      </w:pPr>
    </w:p>
    <w:p w14:paraId="5950E422" w14:textId="77777777" w:rsidR="00AB332C" w:rsidRPr="00CD0CD4" w:rsidRDefault="00AB332C" w:rsidP="00EA1435">
      <w:pPr>
        <w:jc w:val="center"/>
        <w:rPr>
          <w:rFonts w:eastAsiaTheme="minorEastAsia"/>
          <w:color w:val="000000" w:themeColor="text1"/>
          <w:lang w:eastAsia="en-US"/>
        </w:rPr>
      </w:pPr>
    </w:p>
    <w:tbl>
      <w:tblPr>
        <w:tblStyle w:val="a9"/>
        <w:tblW w:w="35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4"/>
      </w:tblGrid>
      <w:tr w:rsidR="002A4BA3" w:rsidRPr="00CD0CD4" w14:paraId="087F1F6C" w14:textId="77777777" w:rsidTr="00EA1435">
        <w:trPr>
          <w:trHeight w:val="823"/>
          <w:jc w:val="center"/>
        </w:trPr>
        <w:tc>
          <w:tcPr>
            <w:tcW w:w="5000" w:type="pct"/>
          </w:tcPr>
          <w:p w14:paraId="23E8EC74" w14:textId="62E1988B" w:rsidR="007F7754" w:rsidRDefault="007F7754" w:rsidP="007F7754">
            <w:pPr>
              <w:tabs>
                <w:tab w:val="left" w:pos="0"/>
                <w:tab w:val="center" w:pos="3293"/>
              </w:tabs>
              <w:jc w:val="center"/>
              <w:rPr>
                <w:rFonts w:eastAsiaTheme="minorEastAsia"/>
                <w:color w:val="000000" w:themeColor="text1"/>
                <w:lang w:eastAsia="en-US"/>
              </w:rPr>
            </w:pPr>
            <w:r>
              <w:rPr>
                <w:rFonts w:eastAsiaTheme="minorEastAsia"/>
                <w:color w:val="000000" w:themeColor="text1"/>
                <w:lang w:eastAsia="en-US"/>
              </w:rPr>
              <w:t xml:space="preserve">Про внесення змін </w:t>
            </w:r>
          </w:p>
          <w:p w14:paraId="39C3D327" w14:textId="77777777" w:rsidR="007F7754" w:rsidRDefault="007F7754" w:rsidP="007F7754">
            <w:pPr>
              <w:tabs>
                <w:tab w:val="left" w:pos="0"/>
                <w:tab w:val="center" w:pos="3293"/>
              </w:tabs>
              <w:jc w:val="center"/>
              <w:rPr>
                <w:rFonts w:eastAsiaTheme="minorEastAsia"/>
                <w:color w:val="000000" w:themeColor="text1"/>
                <w:lang w:eastAsia="en-US"/>
              </w:rPr>
            </w:pPr>
            <w:r>
              <w:rPr>
                <w:rFonts w:eastAsiaTheme="minorEastAsia"/>
                <w:color w:val="000000" w:themeColor="text1"/>
                <w:lang w:eastAsia="en-US"/>
              </w:rPr>
              <w:t>до деяких нормативно-правових актів</w:t>
            </w:r>
          </w:p>
          <w:p w14:paraId="6583B337" w14:textId="34E38E19" w:rsidR="007F7754" w:rsidRPr="00CD0CD4" w:rsidRDefault="007F7754" w:rsidP="007F7754">
            <w:pPr>
              <w:tabs>
                <w:tab w:val="left" w:pos="840"/>
                <w:tab w:val="center" w:pos="3293"/>
              </w:tabs>
              <w:spacing w:after="240"/>
              <w:jc w:val="center"/>
              <w:rPr>
                <w:rFonts w:eastAsiaTheme="minorEastAsia"/>
                <w:color w:val="000000" w:themeColor="text1"/>
                <w:lang w:eastAsia="en-US"/>
              </w:rPr>
            </w:pPr>
            <w:r>
              <w:rPr>
                <w:rFonts w:eastAsiaTheme="minorEastAsia"/>
                <w:color w:val="000000" w:themeColor="text1"/>
                <w:lang w:eastAsia="en-US"/>
              </w:rPr>
              <w:t>Національного банку України</w:t>
            </w:r>
          </w:p>
        </w:tc>
      </w:tr>
    </w:tbl>
    <w:p w14:paraId="6CB3D06A" w14:textId="77777777" w:rsidR="00AB332C" w:rsidRDefault="00AB332C" w:rsidP="007F7754">
      <w:pPr>
        <w:ind w:firstLine="709"/>
      </w:pPr>
    </w:p>
    <w:p w14:paraId="59C5026D" w14:textId="042E9DF8" w:rsidR="007F7754" w:rsidRDefault="007F7754" w:rsidP="007F7754">
      <w:pPr>
        <w:ind w:firstLine="709"/>
      </w:pPr>
      <w:r>
        <w:t xml:space="preserve">Відповідно до статей 6, 7, 15, </w:t>
      </w:r>
      <w:r w:rsidR="00A51787">
        <w:t xml:space="preserve">30, </w:t>
      </w:r>
      <w:r>
        <w:t>44, 45, 56 Закону України “Про</w:t>
      </w:r>
      <w:r>
        <w:rPr>
          <w:lang w:val="en-US"/>
        </w:rPr>
        <w:t> </w:t>
      </w:r>
      <w:r>
        <w:t xml:space="preserve">Національний банк України”, </w:t>
      </w:r>
      <w:r w:rsidR="00365898" w:rsidRPr="007179B2">
        <w:t>статей 2, 4</w:t>
      </w:r>
      <w:r w:rsidR="00135353">
        <w:t>–</w:t>
      </w:r>
      <w:r w:rsidR="00365898" w:rsidRPr="007179B2">
        <w:t xml:space="preserve">6 </w:t>
      </w:r>
      <w:r w:rsidRPr="007179B2">
        <w:t>Закону</w:t>
      </w:r>
      <w:r>
        <w:t xml:space="preserve"> України “Про валюту і валютні операції”, з метою </w:t>
      </w:r>
      <w:r w:rsidRPr="00AE05C9">
        <w:rPr>
          <w:shd w:val="clear" w:color="auto" w:fill="FFFFFF"/>
        </w:rPr>
        <w:t>лібералізації здійснення деяких валютних операцій</w:t>
      </w:r>
      <w:r w:rsidRPr="00AE05C9">
        <w:rPr>
          <w:sz w:val="16"/>
          <w:szCs w:val="16"/>
          <w:shd w:val="clear" w:color="auto" w:fill="FFFFFF"/>
        </w:rPr>
        <w:t xml:space="preserve"> </w:t>
      </w:r>
      <w:r w:rsidRPr="00AE05C9">
        <w:rPr>
          <w:shd w:val="clear" w:color="auto" w:fill="FFFFFF"/>
        </w:rPr>
        <w:t xml:space="preserve">та </w:t>
      </w:r>
      <w:r w:rsidRPr="00AE05C9">
        <w:t xml:space="preserve">вдосконалення нормативно-правових актів Національного банку України Правління Національного банку України </w:t>
      </w:r>
      <w:r w:rsidRPr="00AE05C9">
        <w:rPr>
          <w:b/>
        </w:rPr>
        <w:t>постановляє</w:t>
      </w:r>
      <w:r w:rsidRPr="00AE05C9">
        <w:t>:</w:t>
      </w:r>
    </w:p>
    <w:p w14:paraId="58D2CF4F" w14:textId="5473AB9B" w:rsidR="007F7754" w:rsidRDefault="007F7754" w:rsidP="007F7754">
      <w:pPr>
        <w:ind w:firstLine="709"/>
        <w:rPr>
          <w:sz w:val="24"/>
          <w:szCs w:val="24"/>
        </w:rPr>
      </w:pPr>
    </w:p>
    <w:p w14:paraId="748B4B6C" w14:textId="77777777" w:rsidR="00AB332C" w:rsidRPr="00955A33" w:rsidRDefault="00AB332C" w:rsidP="007F7754">
      <w:pPr>
        <w:ind w:firstLine="709"/>
        <w:rPr>
          <w:sz w:val="24"/>
          <w:szCs w:val="24"/>
        </w:rPr>
      </w:pPr>
    </w:p>
    <w:p w14:paraId="691AA8DC" w14:textId="02B7F3BC" w:rsidR="00AB7797" w:rsidRDefault="00AD7DF9" w:rsidP="007F7754">
      <w:pPr>
        <w:ind w:firstLine="709"/>
      </w:pPr>
      <w:r w:rsidRPr="008B1589">
        <w:rPr>
          <w:lang w:val="ru-RU"/>
        </w:rPr>
        <w:t>1.</w:t>
      </w:r>
      <w:r>
        <w:rPr>
          <w:lang w:val="en-US"/>
        </w:rPr>
        <w:t> </w:t>
      </w:r>
      <w:r w:rsidR="000D07FF">
        <w:t>Затвердити Зміни до</w:t>
      </w:r>
      <w:r w:rsidR="00AB7797">
        <w:t>:</w:t>
      </w:r>
    </w:p>
    <w:p w14:paraId="0F73E1C2" w14:textId="77777777" w:rsidR="00AB7797" w:rsidRPr="00955A33" w:rsidRDefault="00AB7797" w:rsidP="007F7754">
      <w:pPr>
        <w:ind w:firstLine="709"/>
        <w:rPr>
          <w:sz w:val="24"/>
          <w:szCs w:val="24"/>
        </w:rPr>
      </w:pPr>
    </w:p>
    <w:p w14:paraId="15ED15A9" w14:textId="3AE8655A" w:rsidR="00AB7797" w:rsidRDefault="00AB7797" w:rsidP="007F7754">
      <w:pPr>
        <w:ind w:firstLine="709"/>
      </w:pPr>
      <w:r>
        <w:rPr>
          <w:bCs/>
          <w:color w:val="000000"/>
        </w:rPr>
        <w:t>1</w:t>
      </w:r>
      <w:r>
        <w:t>) </w:t>
      </w:r>
      <w:r w:rsidRPr="0019688E">
        <w:rPr>
          <w:bCs/>
          <w:color w:val="000000"/>
        </w:rPr>
        <w:t>Положення про структуру валютного ринку України, умови та порядок торгівлі іноземною валютою та банківськими металами на валютному ринку України,</w:t>
      </w:r>
      <w:r>
        <w:rPr>
          <w:bCs/>
          <w:color w:val="000000"/>
        </w:rPr>
        <w:t xml:space="preserve"> </w:t>
      </w:r>
      <w:r w:rsidRPr="00503505">
        <w:t xml:space="preserve">затвердженого постановою Правління Національного банку України від 02 січня 2019 року </w:t>
      </w:r>
      <w:r>
        <w:t>№ 1</w:t>
      </w:r>
      <w:r w:rsidRPr="00503505">
        <w:t xml:space="preserve"> </w:t>
      </w:r>
      <w:r>
        <w:t>(зі змінами), що додаються;</w:t>
      </w:r>
    </w:p>
    <w:p w14:paraId="70980B9B" w14:textId="77777777" w:rsidR="00AB7797" w:rsidRPr="00955A33" w:rsidRDefault="00AB7797" w:rsidP="007F7754">
      <w:pPr>
        <w:ind w:firstLine="709"/>
        <w:rPr>
          <w:sz w:val="24"/>
          <w:szCs w:val="24"/>
        </w:rPr>
      </w:pPr>
    </w:p>
    <w:p w14:paraId="24EBBD6D" w14:textId="05357B6E" w:rsidR="007F7754" w:rsidRDefault="00AB7797" w:rsidP="007F7754">
      <w:pPr>
        <w:ind w:firstLine="709"/>
      </w:pPr>
      <w:r>
        <w:t>2</w:t>
      </w:r>
      <w:r w:rsidRPr="00896D62">
        <w:t>)</w:t>
      </w:r>
      <w:r>
        <w:t> </w:t>
      </w:r>
      <w:r w:rsidR="007F7754">
        <w:t>П</w:t>
      </w:r>
      <w:r w:rsidR="007F7754" w:rsidRPr="0082174C">
        <w:t>оложення про</w:t>
      </w:r>
      <w:r w:rsidR="007F7754" w:rsidRPr="00C46ADE">
        <w:t xml:space="preserve"> здійснення операцій із валютними цінностями</w:t>
      </w:r>
      <w:r w:rsidR="007F7754">
        <w:t xml:space="preserve">, </w:t>
      </w:r>
      <w:r w:rsidR="007F7754" w:rsidRPr="00503505">
        <w:t>затвердженого постановою Правління Національного банку України від 02</w:t>
      </w:r>
      <w:r w:rsidR="007F7754">
        <w:rPr>
          <w:lang w:val="en-US"/>
        </w:rPr>
        <w:t> </w:t>
      </w:r>
      <w:r w:rsidR="007F7754" w:rsidRPr="00503505">
        <w:t xml:space="preserve">січня 2019 року </w:t>
      </w:r>
      <w:r w:rsidR="007F7754">
        <w:t>№ 2</w:t>
      </w:r>
      <w:r w:rsidR="007F7754" w:rsidRPr="00503505">
        <w:t xml:space="preserve"> </w:t>
      </w:r>
      <w:r w:rsidR="007F7754">
        <w:t>(зі змінами), що додаються</w:t>
      </w:r>
      <w:r w:rsidR="001A7797">
        <w:t>;</w:t>
      </w:r>
    </w:p>
    <w:p w14:paraId="255A6110" w14:textId="3826B4EB" w:rsidR="007F7754" w:rsidRPr="00955A33" w:rsidRDefault="007F7754" w:rsidP="007F7754">
      <w:pPr>
        <w:ind w:firstLine="709"/>
        <w:rPr>
          <w:sz w:val="24"/>
          <w:szCs w:val="24"/>
        </w:rPr>
      </w:pPr>
    </w:p>
    <w:p w14:paraId="276701CF" w14:textId="36D2F11D" w:rsidR="00310CBB" w:rsidRDefault="00D65797" w:rsidP="00361495">
      <w:pPr>
        <w:ind w:firstLine="709"/>
      </w:pPr>
      <w:r>
        <w:rPr>
          <w:lang w:val="ru-RU"/>
        </w:rPr>
        <w:t>3)</w:t>
      </w:r>
      <w:r w:rsidR="00361495">
        <w:t xml:space="preserve"> </w:t>
      </w:r>
      <w:r w:rsidR="00D63305" w:rsidRPr="00D63305">
        <w:t xml:space="preserve">Положення про заходи захисту та визначення порядку здійснення окремих операцій в іноземній валюті, затвердженого постановою Правління Національного банку України від </w:t>
      </w:r>
      <w:r w:rsidR="00D828C4" w:rsidRPr="00503505">
        <w:t>02</w:t>
      </w:r>
      <w:r w:rsidR="00D828C4">
        <w:rPr>
          <w:lang w:val="en-US"/>
        </w:rPr>
        <w:t> </w:t>
      </w:r>
      <w:r w:rsidR="00D828C4" w:rsidRPr="00503505">
        <w:t>січня 2019 року</w:t>
      </w:r>
      <w:r w:rsidR="00D828C4" w:rsidRPr="00D63305" w:rsidDel="00D828C4">
        <w:t xml:space="preserve"> </w:t>
      </w:r>
      <w:r w:rsidR="00D63305" w:rsidRPr="00D63305">
        <w:t>№ 5 (зі змінами)</w:t>
      </w:r>
      <w:r w:rsidR="00D63305">
        <w:t xml:space="preserve">, </w:t>
      </w:r>
      <w:r w:rsidR="00955A33">
        <w:t>що додаються.</w:t>
      </w:r>
    </w:p>
    <w:p w14:paraId="71574233" w14:textId="2A94EB93" w:rsidR="001A7797" w:rsidRDefault="001A7797" w:rsidP="00361495">
      <w:pPr>
        <w:ind w:firstLine="709"/>
      </w:pPr>
    </w:p>
    <w:p w14:paraId="2E1E2917" w14:textId="14379220" w:rsidR="001A7797" w:rsidRPr="002464A6" w:rsidRDefault="001A7797" w:rsidP="00361495">
      <w:pPr>
        <w:ind w:firstLine="709"/>
        <w:rPr>
          <w:lang w:val="ru-RU"/>
        </w:rPr>
      </w:pPr>
      <w:r w:rsidRPr="007179B2">
        <w:t>2. </w:t>
      </w:r>
      <w:r w:rsidRPr="007179B2">
        <w:rPr>
          <w:color w:val="000000"/>
          <w:shd w:val="clear" w:color="auto" w:fill="FFFFFF"/>
        </w:rPr>
        <w:t>У</w:t>
      </w:r>
      <w:r w:rsidR="00AB3C0E" w:rsidRPr="007179B2">
        <w:rPr>
          <w:color w:val="000000"/>
          <w:shd w:val="clear" w:color="auto" w:fill="FFFFFF"/>
        </w:rPr>
        <w:t xml:space="preserve"> </w:t>
      </w:r>
      <w:r w:rsidR="003226C6" w:rsidRPr="007179B2">
        <w:rPr>
          <w:color w:val="000000"/>
          <w:shd w:val="clear" w:color="auto" w:fill="FFFFFF"/>
        </w:rPr>
        <w:t xml:space="preserve">другому </w:t>
      </w:r>
      <w:r w:rsidRPr="007179B2">
        <w:rPr>
          <w:color w:val="000000"/>
          <w:shd w:val="clear" w:color="auto" w:fill="FFFFFF"/>
        </w:rPr>
        <w:t>реченні пункту</w:t>
      </w:r>
      <w:r w:rsidRPr="007179B2">
        <w:rPr>
          <w:color w:val="000000"/>
          <w:shd w:val="clear" w:color="auto" w:fill="FFFFFF"/>
          <w:lang w:val="ru-RU"/>
        </w:rPr>
        <w:t xml:space="preserve"> </w:t>
      </w:r>
      <w:r w:rsidRPr="007179B2">
        <w:rPr>
          <w:color w:val="000000"/>
          <w:shd w:val="clear" w:color="auto" w:fill="FFFFFF"/>
        </w:rPr>
        <w:t xml:space="preserve">16 розділу ІІІ Положення про порядок надання банками Національному банку України інформації щодо договорів, які передбачають виконання резидентами боргових зобов’язань перед нерезидентами-кредиторами за залученими резидентами кредитами, позиками, </w:t>
      </w:r>
      <w:r w:rsidRPr="007179B2">
        <w:rPr>
          <w:color w:val="000000"/>
          <w:shd w:val="clear" w:color="auto" w:fill="FFFFFF"/>
        </w:rPr>
        <w:lastRenderedPageBreak/>
        <w:t>затвердженого постановою Правління Національного банку України від 02 січня 2019 року № 6, слова “та не пізніше сьомого робочого дня після дати її внесення до Інформаційної системи” виключити.</w:t>
      </w:r>
    </w:p>
    <w:p w14:paraId="705FC78E" w14:textId="77777777" w:rsidR="00D63305" w:rsidRPr="00955A33" w:rsidRDefault="00D63305" w:rsidP="00361495">
      <w:pPr>
        <w:ind w:firstLine="709"/>
        <w:rPr>
          <w:sz w:val="24"/>
          <w:szCs w:val="24"/>
        </w:rPr>
      </w:pPr>
    </w:p>
    <w:p w14:paraId="39107A77" w14:textId="079ECB2E" w:rsidR="007F7754" w:rsidRDefault="001A7797" w:rsidP="00BC2AE1">
      <w:pPr>
        <w:ind w:firstLine="709"/>
      </w:pPr>
      <w:r>
        <w:rPr>
          <w:bCs/>
        </w:rPr>
        <w:t>3</w:t>
      </w:r>
      <w:r w:rsidR="007F7754">
        <w:rPr>
          <w:bCs/>
        </w:rPr>
        <w:t>. </w:t>
      </w:r>
      <w:r w:rsidR="007F7754">
        <w:t xml:space="preserve">Постанова набирає чинності </w:t>
      </w:r>
      <w:r w:rsidR="00AB332C">
        <w:t>з дня, наступного за днем її офіційного опублікування</w:t>
      </w:r>
      <w:r w:rsidR="007F7754" w:rsidRPr="00876715">
        <w:t>.</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CD0CD4" w14:paraId="32B2F6C8" w14:textId="77777777" w:rsidTr="00955A33">
        <w:tc>
          <w:tcPr>
            <w:tcW w:w="5495" w:type="dxa"/>
            <w:vAlign w:val="bottom"/>
          </w:tcPr>
          <w:p w14:paraId="6BE93D03" w14:textId="5F1EB548" w:rsidR="00955A33" w:rsidRDefault="00955A33" w:rsidP="00954131">
            <w:pPr>
              <w:tabs>
                <w:tab w:val="left" w:pos="7020"/>
                <w:tab w:val="left" w:pos="7200"/>
              </w:tabs>
              <w:autoSpaceDE w:val="0"/>
              <w:autoSpaceDN w:val="0"/>
              <w:ind w:left="-111"/>
              <w:jc w:val="left"/>
            </w:pPr>
          </w:p>
          <w:p w14:paraId="381D65E5" w14:textId="3BE74105" w:rsidR="00D74524" w:rsidRDefault="00D74524" w:rsidP="00954131">
            <w:pPr>
              <w:tabs>
                <w:tab w:val="left" w:pos="7020"/>
                <w:tab w:val="left" w:pos="7200"/>
              </w:tabs>
              <w:autoSpaceDE w:val="0"/>
              <w:autoSpaceDN w:val="0"/>
              <w:ind w:left="-111"/>
              <w:jc w:val="left"/>
            </w:pPr>
          </w:p>
          <w:p w14:paraId="31B63F80" w14:textId="4193F060" w:rsidR="00D74524" w:rsidRDefault="00D74524" w:rsidP="00954131">
            <w:pPr>
              <w:tabs>
                <w:tab w:val="left" w:pos="7020"/>
                <w:tab w:val="left" w:pos="7200"/>
              </w:tabs>
              <w:autoSpaceDE w:val="0"/>
              <w:autoSpaceDN w:val="0"/>
              <w:ind w:left="-111"/>
              <w:jc w:val="left"/>
            </w:pPr>
          </w:p>
          <w:p w14:paraId="637970D5" w14:textId="77777777" w:rsidR="00D74524" w:rsidRDefault="00D74524" w:rsidP="00954131">
            <w:pPr>
              <w:tabs>
                <w:tab w:val="left" w:pos="7020"/>
                <w:tab w:val="left" w:pos="7200"/>
              </w:tabs>
              <w:autoSpaceDE w:val="0"/>
              <w:autoSpaceDN w:val="0"/>
              <w:ind w:left="-111"/>
              <w:jc w:val="left"/>
            </w:pPr>
          </w:p>
          <w:p w14:paraId="32B2F6C6" w14:textId="34E90ECA" w:rsidR="00DD60CC" w:rsidRPr="00CD0CD4" w:rsidRDefault="00FB3DBB" w:rsidP="00954131">
            <w:pPr>
              <w:tabs>
                <w:tab w:val="left" w:pos="7020"/>
                <w:tab w:val="left" w:pos="7200"/>
              </w:tabs>
              <w:autoSpaceDE w:val="0"/>
              <w:autoSpaceDN w:val="0"/>
              <w:ind w:left="-111"/>
              <w:jc w:val="left"/>
            </w:pPr>
            <w:r w:rsidRPr="00531EED">
              <w:t>Голов</w:t>
            </w:r>
            <w:r>
              <w:t>а</w:t>
            </w:r>
          </w:p>
        </w:tc>
        <w:tc>
          <w:tcPr>
            <w:tcW w:w="4252" w:type="dxa"/>
            <w:vAlign w:val="bottom"/>
          </w:tcPr>
          <w:p w14:paraId="32B2F6C7" w14:textId="0D1F0935" w:rsidR="00DD60CC" w:rsidRPr="00CD0CD4" w:rsidRDefault="00FB3DBB" w:rsidP="00955A33">
            <w:pPr>
              <w:tabs>
                <w:tab w:val="left" w:pos="7020"/>
                <w:tab w:val="left" w:pos="7200"/>
              </w:tabs>
              <w:autoSpaceDE w:val="0"/>
              <w:autoSpaceDN w:val="0"/>
              <w:ind w:left="32"/>
              <w:jc w:val="right"/>
            </w:pPr>
            <w:r>
              <w:t>Кирило ШЕВЧЕНКО</w:t>
            </w:r>
          </w:p>
        </w:tc>
      </w:tr>
    </w:tbl>
    <w:p w14:paraId="53C641DB" w14:textId="77777777" w:rsidR="007F7754" w:rsidRDefault="00FA508E" w:rsidP="00955A33">
      <w:pPr>
        <w:spacing w:before="240"/>
        <w:jc w:val="left"/>
        <w:sectPr w:rsidR="007F7754" w:rsidSect="00743840">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2127" w:left="1701" w:header="709" w:footer="709" w:gutter="0"/>
          <w:cols w:space="708"/>
          <w:titlePg/>
          <w:docGrid w:linePitch="381"/>
        </w:sectPr>
      </w:pPr>
      <w:r w:rsidRPr="00CD0CD4">
        <w:t>Інд.</w:t>
      </w:r>
      <w:r w:rsidRPr="00CD0CD4">
        <w:rPr>
          <w:sz w:val="22"/>
          <w:szCs w:val="22"/>
        </w:rPr>
        <w:t xml:space="preserve"> </w:t>
      </w:r>
      <w:r w:rsidR="00FB3DBB">
        <w:t>40</w:t>
      </w:r>
    </w:p>
    <w:p w14:paraId="0AB91A89" w14:textId="77777777" w:rsidR="007F7754" w:rsidRDefault="007F7754" w:rsidP="007F7754">
      <w:pPr>
        <w:ind w:left="5529"/>
      </w:pPr>
      <w:r>
        <w:lastRenderedPageBreak/>
        <w:t xml:space="preserve">ЗАТВЕРДЖЕНО </w:t>
      </w:r>
    </w:p>
    <w:p w14:paraId="7A3B9E08" w14:textId="77777777" w:rsidR="007F7754" w:rsidRDefault="007F7754" w:rsidP="007F7754">
      <w:pPr>
        <w:ind w:left="5529"/>
      </w:pPr>
      <w:r>
        <w:t>Постанова Правління Національного банку України</w:t>
      </w:r>
    </w:p>
    <w:p w14:paraId="5C2A95CF" w14:textId="424880E7" w:rsidR="007F7754" w:rsidRPr="00F01069" w:rsidRDefault="00F01069" w:rsidP="007F7754">
      <w:pPr>
        <w:ind w:left="5529"/>
      </w:pPr>
      <w:r w:rsidRPr="00F01069">
        <w:rPr>
          <w:lang w:val="en-US"/>
        </w:rPr>
        <w:t xml:space="preserve">29 </w:t>
      </w:r>
      <w:r w:rsidRPr="00F01069">
        <w:t>червня 2021 року № 6</w:t>
      </w:r>
      <w:r w:rsidR="00D43518">
        <w:t>2</w:t>
      </w:r>
    </w:p>
    <w:p w14:paraId="68C21E9B" w14:textId="77777777" w:rsidR="007F7754" w:rsidRPr="00821F82" w:rsidRDefault="007F7754" w:rsidP="007F7754">
      <w:pPr>
        <w:ind w:firstLine="709"/>
      </w:pPr>
    </w:p>
    <w:p w14:paraId="7A1D1C89" w14:textId="77777777" w:rsidR="007F7754" w:rsidRPr="00F07EF2" w:rsidRDefault="007F7754" w:rsidP="007F7754">
      <w:pPr>
        <w:ind w:firstLine="709"/>
        <w:jc w:val="center"/>
        <w:rPr>
          <w:bCs/>
        </w:rPr>
      </w:pPr>
      <w:r w:rsidRPr="00821F82">
        <w:t xml:space="preserve">Зміни </w:t>
      </w:r>
      <w:r w:rsidRPr="00F07EF2">
        <w:t xml:space="preserve">до Положення про </w:t>
      </w:r>
      <w:r w:rsidRPr="00F07EF2">
        <w:rPr>
          <w:bCs/>
        </w:rPr>
        <w:t>структуру валютного ринку України, умови та порядок торгівлі іноземною валютою та банківськими металами</w:t>
      </w:r>
    </w:p>
    <w:p w14:paraId="49DCBA1E" w14:textId="77777777" w:rsidR="007F7754" w:rsidRPr="00F07EF2" w:rsidRDefault="007F7754" w:rsidP="007F7754">
      <w:pPr>
        <w:ind w:firstLine="709"/>
        <w:jc w:val="center"/>
      </w:pPr>
      <w:r w:rsidRPr="00F07EF2">
        <w:rPr>
          <w:bCs/>
        </w:rPr>
        <w:t>на валютному ринку України</w:t>
      </w:r>
    </w:p>
    <w:p w14:paraId="33DCDE9A" w14:textId="77777777" w:rsidR="007F7754" w:rsidRPr="00F07EF2" w:rsidRDefault="007F7754" w:rsidP="007F7754">
      <w:pPr>
        <w:shd w:val="clear" w:color="auto" w:fill="FFFFFF"/>
        <w:ind w:firstLine="709"/>
      </w:pPr>
    </w:p>
    <w:p w14:paraId="4CE77E1A" w14:textId="6E23DC0B" w:rsidR="004E4C97" w:rsidRPr="00014176" w:rsidRDefault="007F7754" w:rsidP="009F16D4">
      <w:pPr>
        <w:ind w:firstLine="709"/>
      </w:pPr>
      <w:r w:rsidRPr="00F07EF2">
        <w:t>1. </w:t>
      </w:r>
      <w:r w:rsidR="002600A3">
        <w:t xml:space="preserve">В </w:t>
      </w:r>
      <w:r w:rsidR="004E4C97">
        <w:t>а</w:t>
      </w:r>
      <w:r w:rsidR="00D50C04">
        <w:t>бзац</w:t>
      </w:r>
      <w:r w:rsidR="002600A3">
        <w:t>і</w:t>
      </w:r>
      <w:r w:rsidR="00D50C04">
        <w:t xml:space="preserve"> друг</w:t>
      </w:r>
      <w:r w:rsidR="002600A3">
        <w:t>ому підпункту 8 пункту 2 розділу І</w:t>
      </w:r>
      <w:r w:rsidR="00D50C04">
        <w:t xml:space="preserve"> </w:t>
      </w:r>
      <w:r w:rsidR="002600A3">
        <w:t>слова “вітчизняні монети та</w:t>
      </w:r>
      <w:r w:rsidR="002600A3" w:rsidRPr="00014176">
        <w:t>”</w:t>
      </w:r>
      <w:r w:rsidR="002600A3">
        <w:t xml:space="preserve"> замінити словами </w:t>
      </w:r>
      <w:r w:rsidR="009F16D4">
        <w:t>“</w:t>
      </w:r>
      <w:r w:rsidR="004E4C97" w:rsidRPr="00014176">
        <w:t>пам’ятні монети України</w:t>
      </w:r>
      <w:r w:rsidR="002600A3">
        <w:t>,</w:t>
      </w:r>
      <w:r w:rsidR="009F16D4" w:rsidRPr="00014176">
        <w:t>”</w:t>
      </w:r>
      <w:r w:rsidR="002600A3">
        <w:t>.</w:t>
      </w:r>
    </w:p>
    <w:p w14:paraId="3EFA4DC2" w14:textId="4B7D349A" w:rsidR="00D50C04" w:rsidRPr="00014176" w:rsidRDefault="00D50C04" w:rsidP="00AB7797">
      <w:pPr>
        <w:ind w:firstLine="709"/>
      </w:pPr>
    </w:p>
    <w:p w14:paraId="22C54121" w14:textId="742E66AE" w:rsidR="00AB7797" w:rsidRPr="00014176" w:rsidRDefault="00D50C04" w:rsidP="00AB7797">
      <w:pPr>
        <w:ind w:firstLine="709"/>
      </w:pPr>
      <w:r w:rsidRPr="00014176">
        <w:t>2. </w:t>
      </w:r>
      <w:r w:rsidR="00AB7797" w:rsidRPr="00014176">
        <w:t>Пункт 9 розділу ІІ викласти в такій редакції:</w:t>
      </w:r>
    </w:p>
    <w:p w14:paraId="0460495D" w14:textId="429978DE" w:rsidR="00AB7797" w:rsidRDefault="00AB7797" w:rsidP="00AB7797">
      <w:pPr>
        <w:ind w:firstLine="709"/>
      </w:pPr>
      <w:r w:rsidRPr="00014176">
        <w:t>“9. Національний банк здійснює продаж пам’ятних монет України</w:t>
      </w:r>
      <w:r w:rsidR="004E4C97" w:rsidRPr="00014176">
        <w:t xml:space="preserve"> та </w:t>
      </w:r>
      <w:r w:rsidRPr="00014176">
        <w:t xml:space="preserve">інвестиційних монет України, купівлю інвестиційних монет України </w:t>
      </w:r>
      <w:r w:rsidR="00135353">
        <w:t>в</w:t>
      </w:r>
      <w:r w:rsidR="00135353" w:rsidRPr="00014176">
        <w:t xml:space="preserve"> </w:t>
      </w:r>
      <w:r w:rsidRPr="00014176">
        <w:t>порядку, визначеному</w:t>
      </w:r>
      <w:r w:rsidR="004E4C97" w:rsidRPr="00014176">
        <w:rPr>
          <w:b/>
          <w:shd w:val="clear" w:color="auto" w:fill="FFFFFF"/>
        </w:rPr>
        <w:t xml:space="preserve"> </w:t>
      </w:r>
      <w:r w:rsidR="004E4C97" w:rsidRPr="00014176">
        <w:rPr>
          <w:shd w:val="clear" w:color="auto" w:fill="FFFFFF"/>
        </w:rPr>
        <w:t>цим Положенням</w:t>
      </w:r>
      <w:r w:rsidRPr="00014176">
        <w:t xml:space="preserve"> </w:t>
      </w:r>
      <w:r w:rsidR="004E4C97">
        <w:t xml:space="preserve">та </w:t>
      </w:r>
      <w:r w:rsidR="008D622C">
        <w:t xml:space="preserve">іншими </w:t>
      </w:r>
      <w:r w:rsidRPr="00D50C04">
        <w:t xml:space="preserve">нормативно-правовими актами Національного банку, що </w:t>
      </w:r>
      <w:r w:rsidR="00D50C04" w:rsidRPr="00D50C04">
        <w:rPr>
          <w:shd w:val="clear" w:color="auto" w:fill="FFFFFF"/>
        </w:rPr>
        <w:t>регулюють операції з пам’ятними та інвестиційними монетами України</w:t>
      </w:r>
      <w:r w:rsidRPr="00D50C04">
        <w:t>.”.</w:t>
      </w:r>
    </w:p>
    <w:p w14:paraId="7CEB1500" w14:textId="77777777" w:rsidR="00AB7797" w:rsidRDefault="00AB7797" w:rsidP="00AB7797">
      <w:pPr>
        <w:ind w:firstLine="709"/>
      </w:pPr>
    </w:p>
    <w:p w14:paraId="6191A53F" w14:textId="785A4578" w:rsidR="00AB7797" w:rsidRDefault="00E5388C" w:rsidP="00AB7797">
      <w:pPr>
        <w:ind w:firstLine="709"/>
        <w:rPr>
          <w:bCs/>
        </w:rPr>
      </w:pPr>
      <w:r>
        <w:t>3</w:t>
      </w:r>
      <w:r w:rsidR="000877E5">
        <w:t>. У</w:t>
      </w:r>
      <w:r w:rsidR="00AB7797">
        <w:t xml:space="preserve"> розділі </w:t>
      </w:r>
      <w:r w:rsidR="00AB7797" w:rsidRPr="009F59D2">
        <w:rPr>
          <w:bCs/>
        </w:rPr>
        <w:t>IV</w:t>
      </w:r>
      <w:r w:rsidR="00AB7797">
        <w:rPr>
          <w:bCs/>
        </w:rPr>
        <w:t>:</w:t>
      </w:r>
    </w:p>
    <w:p w14:paraId="6EE4A689" w14:textId="7F96F704" w:rsidR="000877E5" w:rsidRDefault="000877E5" w:rsidP="00AB7797">
      <w:pPr>
        <w:ind w:firstLine="709"/>
        <w:rPr>
          <w:bCs/>
        </w:rPr>
      </w:pPr>
    </w:p>
    <w:p w14:paraId="2B7D52A8" w14:textId="659DC118" w:rsidR="00AB7797" w:rsidRPr="00E60E7E" w:rsidRDefault="0012072A" w:rsidP="0012072A">
      <w:pPr>
        <w:ind w:firstLine="709"/>
      </w:pPr>
      <w:r>
        <w:rPr>
          <w:bCs/>
        </w:rPr>
        <w:t>1</w:t>
      </w:r>
      <w:r w:rsidRPr="00E60E7E">
        <w:t>)</w:t>
      </w:r>
      <w:r>
        <w:t> </w:t>
      </w:r>
      <w:r w:rsidR="00AB7797" w:rsidRPr="00E60E7E">
        <w:t>підпункт</w:t>
      </w:r>
      <w:r w:rsidR="00310CBB">
        <w:t>и</w:t>
      </w:r>
      <w:r w:rsidR="00AB7797" w:rsidRPr="00E60E7E">
        <w:t xml:space="preserve"> 2</w:t>
      </w:r>
      <w:r w:rsidR="00310CBB">
        <w:t>, 3</w:t>
      </w:r>
      <w:r w:rsidR="00AB7797" w:rsidRPr="00E60E7E">
        <w:t xml:space="preserve"> пункту 13 викласти в такій редакції:</w:t>
      </w:r>
    </w:p>
    <w:p w14:paraId="01D8B8AC" w14:textId="14ADA2D8" w:rsidR="00AB7797" w:rsidRPr="00E60E7E" w:rsidRDefault="00AB7797" w:rsidP="00AB7797">
      <w:pPr>
        <w:ind w:firstLine="709"/>
      </w:pPr>
      <w:r>
        <w:t>“</w:t>
      </w:r>
      <w:r w:rsidR="00310CBB">
        <w:t>2) продаж фізичним особам –</w:t>
      </w:r>
      <w:r w:rsidRPr="00E60E7E">
        <w:t xml:space="preserve"> резидентам і нерезидентам готівки іноземної валюти за:</w:t>
      </w:r>
    </w:p>
    <w:p w14:paraId="72315674" w14:textId="77777777" w:rsidR="00AB7797" w:rsidRPr="00E60E7E" w:rsidRDefault="00AB7797" w:rsidP="00AB7797">
      <w:pPr>
        <w:ind w:firstLine="709"/>
      </w:pPr>
      <w:r w:rsidRPr="00E60E7E">
        <w:t>готівкові кошти в гривні;</w:t>
      </w:r>
    </w:p>
    <w:p w14:paraId="2068B0C8" w14:textId="77777777" w:rsidR="00310CBB" w:rsidRDefault="00AB7797" w:rsidP="00AB7797">
      <w:pPr>
        <w:ind w:firstLine="709"/>
      </w:pPr>
      <w:r w:rsidRPr="00AE5750">
        <w:t>безготівкові кошти в гривні</w:t>
      </w:r>
      <w:r w:rsidR="00361495">
        <w:t xml:space="preserve"> </w:t>
      </w:r>
      <w:r w:rsidR="00361495" w:rsidRPr="00361495">
        <w:t>з власних поточних рахунків цих фізичних осіб</w:t>
      </w:r>
      <w:r w:rsidRPr="00AE5750">
        <w:t>;</w:t>
      </w:r>
    </w:p>
    <w:p w14:paraId="52646F7C" w14:textId="77777777" w:rsidR="00310CBB" w:rsidRDefault="00310CBB" w:rsidP="00AB7797">
      <w:pPr>
        <w:ind w:firstLine="709"/>
        <w:rPr>
          <w:bCs/>
        </w:rPr>
      </w:pPr>
    </w:p>
    <w:p w14:paraId="69CE9448" w14:textId="340FA7AB" w:rsidR="00AB7797" w:rsidRPr="00AE5750" w:rsidRDefault="00310CBB" w:rsidP="00AB7797">
      <w:pPr>
        <w:ind w:firstLine="709"/>
      </w:pPr>
      <w:r w:rsidRPr="006D1666">
        <w:rPr>
          <w:bCs/>
        </w:rPr>
        <w:t xml:space="preserve">3) </w:t>
      </w:r>
      <w:r w:rsidRPr="00310CBB">
        <w:rPr>
          <w:bCs/>
        </w:rPr>
        <w:t xml:space="preserve">обмін </w:t>
      </w:r>
      <w:r w:rsidR="00D63305">
        <w:rPr>
          <w:bCs/>
        </w:rPr>
        <w:t xml:space="preserve">фізичним особам </w:t>
      </w:r>
      <w:r w:rsidR="00D63305">
        <w:t>–</w:t>
      </w:r>
      <w:r w:rsidRPr="00310CBB">
        <w:rPr>
          <w:bCs/>
        </w:rPr>
        <w:t xml:space="preserve"> резидентам і нерезидентам</w:t>
      </w:r>
      <w:r w:rsidRPr="008058EB">
        <w:rPr>
          <w:b/>
        </w:rPr>
        <w:t xml:space="preserve"> </w:t>
      </w:r>
      <w:r w:rsidRPr="006D1666">
        <w:rPr>
          <w:bCs/>
        </w:rPr>
        <w:t>готівки іноземної валюти однієї іноземної держави на готівку іноземної валюти іншої іноземної держави.</w:t>
      </w:r>
      <w:r w:rsidR="00AB7797" w:rsidRPr="00AE5750">
        <w:t>”;</w:t>
      </w:r>
    </w:p>
    <w:p w14:paraId="351B6D8A" w14:textId="77777777" w:rsidR="00AB7797" w:rsidRPr="00AE5750" w:rsidRDefault="00AB7797" w:rsidP="00AB7797">
      <w:pPr>
        <w:ind w:firstLine="709"/>
      </w:pPr>
    </w:p>
    <w:p w14:paraId="784629BC" w14:textId="633263A0" w:rsidR="00AB7797" w:rsidRPr="00AE5750" w:rsidRDefault="00E5388C" w:rsidP="00AB7797">
      <w:pPr>
        <w:ind w:firstLine="709"/>
      </w:pPr>
      <w:r>
        <w:t>2</w:t>
      </w:r>
      <w:r w:rsidR="00AB7797" w:rsidRPr="00AE5750">
        <w:t>) пункт 14 викласти в такій редакції:</w:t>
      </w:r>
    </w:p>
    <w:p w14:paraId="36BC1300" w14:textId="7C9285F0" w:rsidR="00AB7797" w:rsidRPr="00AE5750" w:rsidRDefault="00AB7797" w:rsidP="00C368A1">
      <w:pPr>
        <w:pStyle w:val="rvps2"/>
        <w:shd w:val="clear" w:color="auto" w:fill="FFFFFF"/>
        <w:spacing w:before="0" w:beforeAutospacing="0" w:after="0" w:afterAutospacing="0"/>
        <w:ind w:firstLine="709"/>
        <w:jc w:val="both"/>
        <w:rPr>
          <w:sz w:val="28"/>
          <w:szCs w:val="28"/>
          <w:lang w:val="uk-UA"/>
        </w:rPr>
      </w:pPr>
      <w:r w:rsidRPr="00AE5750">
        <w:rPr>
          <w:lang w:val="uk-UA"/>
        </w:rPr>
        <w:t>“</w:t>
      </w:r>
      <w:r w:rsidRPr="00AE5750">
        <w:rPr>
          <w:sz w:val="28"/>
          <w:szCs w:val="28"/>
          <w:lang w:val="uk-UA"/>
        </w:rPr>
        <w:t xml:space="preserve">14. До операцій </w:t>
      </w:r>
      <w:r w:rsidR="00BE2F5F">
        <w:rPr>
          <w:sz w:val="28"/>
          <w:szCs w:val="28"/>
          <w:lang w:val="uk-UA"/>
        </w:rPr>
        <w:t xml:space="preserve">з </w:t>
      </w:r>
      <w:r w:rsidRPr="00AE5750">
        <w:rPr>
          <w:sz w:val="28"/>
          <w:szCs w:val="28"/>
          <w:lang w:val="uk-UA"/>
        </w:rPr>
        <w:t xml:space="preserve">торгівлі  банківськими металами з фізичною поставкою (далі </w:t>
      </w:r>
      <w:r w:rsidR="00CF103A" w:rsidRPr="0037618F">
        <w:rPr>
          <w:shd w:val="clear" w:color="auto" w:fill="FFFFFF"/>
        </w:rPr>
        <w:t>–</w:t>
      </w:r>
      <w:r w:rsidRPr="00AE5750">
        <w:rPr>
          <w:sz w:val="28"/>
          <w:szCs w:val="28"/>
          <w:lang w:val="uk-UA"/>
        </w:rPr>
        <w:t xml:space="preserve"> операції з банківськими металами) належать:</w:t>
      </w:r>
    </w:p>
    <w:p w14:paraId="7F5BFB8A" w14:textId="77777777" w:rsidR="00C368A1" w:rsidRPr="00AE5750" w:rsidRDefault="00C368A1" w:rsidP="00C368A1">
      <w:pPr>
        <w:pStyle w:val="rvps2"/>
        <w:shd w:val="clear" w:color="auto" w:fill="FFFFFF"/>
        <w:spacing w:before="0" w:beforeAutospacing="0" w:after="0" w:afterAutospacing="0"/>
        <w:ind w:firstLine="709"/>
        <w:jc w:val="both"/>
        <w:rPr>
          <w:sz w:val="28"/>
          <w:szCs w:val="28"/>
          <w:lang w:val="uk-UA"/>
        </w:rPr>
      </w:pPr>
    </w:p>
    <w:p w14:paraId="6831AAA8" w14:textId="4D91F144" w:rsidR="00AB7797" w:rsidRPr="00AE5750" w:rsidRDefault="00D63305" w:rsidP="00C368A1">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1) купівля у фізичних осіб </w:t>
      </w:r>
      <w:r>
        <w:t>–</w:t>
      </w:r>
      <w:r w:rsidR="00AB7797" w:rsidRPr="00AE5750">
        <w:rPr>
          <w:sz w:val="28"/>
          <w:szCs w:val="28"/>
          <w:lang w:val="uk-UA"/>
        </w:rPr>
        <w:t xml:space="preserve"> резидентів і нерезидентів банківських металів за:</w:t>
      </w:r>
    </w:p>
    <w:p w14:paraId="546CF00F" w14:textId="2C857170" w:rsidR="00AB7797" w:rsidRPr="00AE5750" w:rsidRDefault="00AB7797" w:rsidP="00C368A1">
      <w:pPr>
        <w:pStyle w:val="rvps2"/>
        <w:shd w:val="clear" w:color="auto" w:fill="FFFFFF"/>
        <w:spacing w:before="0" w:beforeAutospacing="0" w:after="0" w:afterAutospacing="0"/>
        <w:ind w:firstLine="709"/>
        <w:jc w:val="both"/>
        <w:rPr>
          <w:bCs/>
          <w:sz w:val="28"/>
          <w:szCs w:val="28"/>
          <w:lang w:val="uk-UA" w:eastAsia="uk-UA"/>
        </w:rPr>
      </w:pPr>
      <w:r w:rsidRPr="00AE5750">
        <w:rPr>
          <w:sz w:val="28"/>
          <w:szCs w:val="28"/>
          <w:lang w:val="uk-UA"/>
        </w:rPr>
        <w:t xml:space="preserve">готівкові </w:t>
      </w:r>
      <w:r w:rsidRPr="00AE5750">
        <w:rPr>
          <w:bCs/>
          <w:sz w:val="28"/>
          <w:szCs w:val="28"/>
          <w:lang w:val="uk-UA" w:eastAsia="uk-UA"/>
        </w:rPr>
        <w:t xml:space="preserve">кошти </w:t>
      </w:r>
      <w:r w:rsidR="00135353">
        <w:rPr>
          <w:bCs/>
          <w:sz w:val="28"/>
          <w:szCs w:val="28"/>
          <w:lang w:val="uk-UA" w:eastAsia="uk-UA"/>
        </w:rPr>
        <w:t>в</w:t>
      </w:r>
      <w:r w:rsidR="00135353" w:rsidRPr="00AE5750">
        <w:rPr>
          <w:bCs/>
          <w:sz w:val="28"/>
          <w:szCs w:val="28"/>
          <w:lang w:val="uk-UA" w:eastAsia="uk-UA"/>
        </w:rPr>
        <w:t xml:space="preserve"> </w:t>
      </w:r>
      <w:r w:rsidRPr="00AE5750">
        <w:rPr>
          <w:bCs/>
          <w:sz w:val="28"/>
          <w:szCs w:val="28"/>
          <w:lang w:val="uk-UA" w:eastAsia="uk-UA"/>
        </w:rPr>
        <w:t>гривні;</w:t>
      </w:r>
    </w:p>
    <w:p w14:paraId="7242410B" w14:textId="218EBA8B" w:rsidR="00AB7797" w:rsidRPr="00AE5750" w:rsidRDefault="00AB7797" w:rsidP="00C368A1">
      <w:pPr>
        <w:pStyle w:val="rvps2"/>
        <w:shd w:val="clear" w:color="auto" w:fill="FFFFFF"/>
        <w:spacing w:before="0" w:beforeAutospacing="0" w:after="0" w:afterAutospacing="0"/>
        <w:ind w:firstLine="709"/>
        <w:jc w:val="both"/>
        <w:rPr>
          <w:sz w:val="28"/>
          <w:szCs w:val="28"/>
          <w:lang w:val="uk-UA"/>
        </w:rPr>
      </w:pPr>
      <w:r w:rsidRPr="00AE5750">
        <w:rPr>
          <w:bCs/>
          <w:sz w:val="28"/>
          <w:szCs w:val="28"/>
          <w:lang w:val="uk-UA" w:eastAsia="uk-UA"/>
        </w:rPr>
        <w:t xml:space="preserve">безготівкові кошти </w:t>
      </w:r>
      <w:r w:rsidR="00135353">
        <w:rPr>
          <w:bCs/>
          <w:sz w:val="28"/>
          <w:szCs w:val="28"/>
          <w:lang w:val="uk-UA" w:eastAsia="uk-UA"/>
        </w:rPr>
        <w:t>в</w:t>
      </w:r>
      <w:r w:rsidR="00135353" w:rsidRPr="00AE5750">
        <w:rPr>
          <w:bCs/>
          <w:sz w:val="28"/>
          <w:szCs w:val="28"/>
          <w:lang w:val="uk-UA" w:eastAsia="uk-UA"/>
        </w:rPr>
        <w:t xml:space="preserve"> </w:t>
      </w:r>
      <w:r w:rsidRPr="00AE5750">
        <w:rPr>
          <w:bCs/>
          <w:sz w:val="28"/>
          <w:szCs w:val="28"/>
          <w:lang w:val="uk-UA" w:eastAsia="uk-UA"/>
        </w:rPr>
        <w:t>гривні з подальшим їх зарахуванням на власні поточні рахунки цих фізичних осіб</w:t>
      </w:r>
      <w:r w:rsidRPr="00AE5750">
        <w:rPr>
          <w:sz w:val="28"/>
          <w:szCs w:val="28"/>
          <w:lang w:val="uk-UA"/>
        </w:rPr>
        <w:t>;</w:t>
      </w:r>
    </w:p>
    <w:p w14:paraId="5D4C98FE" w14:textId="77777777" w:rsidR="0012072A" w:rsidRPr="00AE5750" w:rsidRDefault="0012072A" w:rsidP="00C368A1">
      <w:pPr>
        <w:pStyle w:val="rvps2"/>
        <w:shd w:val="clear" w:color="auto" w:fill="FFFFFF"/>
        <w:spacing w:before="0" w:beforeAutospacing="0" w:after="0" w:afterAutospacing="0"/>
        <w:ind w:firstLine="709"/>
        <w:jc w:val="both"/>
        <w:rPr>
          <w:sz w:val="28"/>
          <w:szCs w:val="28"/>
          <w:lang w:val="uk-UA"/>
        </w:rPr>
      </w:pPr>
    </w:p>
    <w:p w14:paraId="72C63BC7" w14:textId="407602CE" w:rsidR="00AB7797" w:rsidRPr="00AE5750" w:rsidRDefault="00D63305" w:rsidP="00AB7797">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2) продаж фізичним особам </w:t>
      </w:r>
      <w:r>
        <w:t>–</w:t>
      </w:r>
      <w:r w:rsidR="00AB7797" w:rsidRPr="00AE5750">
        <w:rPr>
          <w:sz w:val="28"/>
          <w:szCs w:val="28"/>
          <w:lang w:val="uk-UA"/>
        </w:rPr>
        <w:t xml:space="preserve"> резидентам і нерезидентам банківських металів за:</w:t>
      </w:r>
    </w:p>
    <w:p w14:paraId="39F03A01" w14:textId="463C9850" w:rsidR="00AB7797" w:rsidRPr="00AE5750" w:rsidRDefault="00AB7797" w:rsidP="00AB7797">
      <w:pPr>
        <w:pStyle w:val="rvps2"/>
        <w:shd w:val="clear" w:color="auto" w:fill="FFFFFF"/>
        <w:spacing w:before="0" w:beforeAutospacing="0" w:after="0" w:afterAutospacing="0"/>
        <w:ind w:firstLine="709"/>
        <w:jc w:val="both"/>
        <w:rPr>
          <w:bCs/>
          <w:sz w:val="28"/>
          <w:szCs w:val="28"/>
          <w:lang w:val="uk-UA" w:eastAsia="uk-UA"/>
        </w:rPr>
      </w:pPr>
      <w:r w:rsidRPr="00AE5750">
        <w:rPr>
          <w:bCs/>
          <w:sz w:val="28"/>
          <w:szCs w:val="28"/>
          <w:lang w:val="uk-UA" w:eastAsia="uk-UA"/>
        </w:rPr>
        <w:t xml:space="preserve">готівкові кошти </w:t>
      </w:r>
      <w:r w:rsidR="00135353">
        <w:rPr>
          <w:bCs/>
          <w:sz w:val="28"/>
          <w:szCs w:val="28"/>
          <w:lang w:val="uk-UA" w:eastAsia="uk-UA"/>
        </w:rPr>
        <w:t>в</w:t>
      </w:r>
      <w:r w:rsidR="00135353" w:rsidRPr="00AE5750">
        <w:rPr>
          <w:bCs/>
          <w:sz w:val="28"/>
          <w:szCs w:val="28"/>
          <w:lang w:val="uk-UA" w:eastAsia="uk-UA"/>
        </w:rPr>
        <w:t xml:space="preserve"> </w:t>
      </w:r>
      <w:r w:rsidRPr="00AE5750">
        <w:rPr>
          <w:bCs/>
          <w:sz w:val="28"/>
          <w:szCs w:val="28"/>
          <w:lang w:val="uk-UA" w:eastAsia="uk-UA"/>
        </w:rPr>
        <w:t>гривні;</w:t>
      </w:r>
    </w:p>
    <w:p w14:paraId="4FEE03D1" w14:textId="027E0973" w:rsidR="00AB7797" w:rsidRPr="002A49DE" w:rsidRDefault="00AB7797" w:rsidP="00AB7797">
      <w:pPr>
        <w:pStyle w:val="rvps2"/>
        <w:shd w:val="clear" w:color="auto" w:fill="FFFFFF"/>
        <w:spacing w:before="0" w:beforeAutospacing="0" w:after="0" w:afterAutospacing="0"/>
        <w:ind w:firstLine="709"/>
        <w:jc w:val="both"/>
        <w:rPr>
          <w:sz w:val="28"/>
          <w:szCs w:val="28"/>
          <w:lang w:val="uk-UA"/>
        </w:rPr>
      </w:pPr>
      <w:r w:rsidRPr="00AE5750">
        <w:rPr>
          <w:bCs/>
          <w:sz w:val="28"/>
          <w:szCs w:val="28"/>
          <w:lang w:val="uk-UA" w:eastAsia="uk-UA"/>
        </w:rPr>
        <w:t xml:space="preserve">безготівкові кошти </w:t>
      </w:r>
      <w:r w:rsidR="00135353">
        <w:rPr>
          <w:bCs/>
          <w:sz w:val="28"/>
          <w:szCs w:val="28"/>
          <w:lang w:val="uk-UA" w:eastAsia="uk-UA"/>
        </w:rPr>
        <w:t>в</w:t>
      </w:r>
      <w:r w:rsidR="00135353" w:rsidRPr="00AE5750">
        <w:rPr>
          <w:bCs/>
          <w:sz w:val="28"/>
          <w:szCs w:val="28"/>
          <w:lang w:val="uk-UA" w:eastAsia="uk-UA"/>
        </w:rPr>
        <w:t xml:space="preserve"> </w:t>
      </w:r>
      <w:r w:rsidRPr="00AE5750">
        <w:rPr>
          <w:bCs/>
          <w:sz w:val="28"/>
          <w:szCs w:val="28"/>
          <w:lang w:val="uk-UA" w:eastAsia="uk-UA"/>
        </w:rPr>
        <w:t>гривні</w:t>
      </w:r>
      <w:r w:rsidR="00361495">
        <w:rPr>
          <w:bCs/>
          <w:sz w:val="28"/>
          <w:szCs w:val="28"/>
          <w:lang w:val="uk-UA" w:eastAsia="uk-UA"/>
        </w:rPr>
        <w:t xml:space="preserve"> </w:t>
      </w:r>
      <w:r w:rsidR="00361495" w:rsidRPr="002A49DE">
        <w:rPr>
          <w:bCs/>
          <w:sz w:val="28"/>
          <w:szCs w:val="28"/>
          <w:lang w:val="uk-UA" w:eastAsia="uk-UA"/>
        </w:rPr>
        <w:t>з власних поточних рахунків цих фізичних осіб</w:t>
      </w:r>
      <w:r w:rsidRPr="002A49DE">
        <w:rPr>
          <w:sz w:val="28"/>
          <w:szCs w:val="28"/>
          <w:lang w:val="uk-UA"/>
        </w:rPr>
        <w:t>;</w:t>
      </w:r>
    </w:p>
    <w:p w14:paraId="32E48164" w14:textId="77777777" w:rsidR="0012072A" w:rsidRPr="00AE5750" w:rsidRDefault="0012072A" w:rsidP="00AB7797">
      <w:pPr>
        <w:pStyle w:val="rvps2"/>
        <w:shd w:val="clear" w:color="auto" w:fill="FFFFFF"/>
        <w:spacing w:before="0" w:beforeAutospacing="0" w:after="0" w:afterAutospacing="0"/>
        <w:ind w:firstLine="709"/>
        <w:jc w:val="both"/>
        <w:rPr>
          <w:bCs/>
          <w:sz w:val="28"/>
          <w:szCs w:val="28"/>
          <w:shd w:val="clear" w:color="auto" w:fill="FFFFFF"/>
          <w:lang w:val="uk-UA"/>
        </w:rPr>
      </w:pPr>
    </w:p>
    <w:p w14:paraId="79153F64" w14:textId="5E91B753" w:rsidR="00AB7797" w:rsidRPr="00E60E7E" w:rsidRDefault="00AB7797" w:rsidP="00AB7797">
      <w:pPr>
        <w:pStyle w:val="rvps2"/>
        <w:shd w:val="clear" w:color="auto" w:fill="FFFFFF"/>
        <w:spacing w:before="0" w:beforeAutospacing="0" w:after="0" w:afterAutospacing="0"/>
        <w:ind w:firstLine="709"/>
        <w:jc w:val="both"/>
        <w:rPr>
          <w:sz w:val="28"/>
          <w:szCs w:val="28"/>
          <w:lang w:val="uk-UA"/>
        </w:rPr>
      </w:pPr>
      <w:r w:rsidRPr="00E60E7E">
        <w:rPr>
          <w:bCs/>
          <w:sz w:val="28"/>
          <w:szCs w:val="28"/>
          <w:shd w:val="clear" w:color="auto" w:fill="FFFFFF"/>
          <w:lang w:val="uk-UA"/>
        </w:rPr>
        <w:t xml:space="preserve">3) продаж юридичним особам монет за </w:t>
      </w:r>
      <w:r w:rsidRPr="00E60E7E">
        <w:rPr>
          <w:bCs/>
          <w:sz w:val="28"/>
          <w:szCs w:val="28"/>
          <w:lang w:val="uk-UA" w:eastAsia="uk-UA"/>
        </w:rPr>
        <w:t xml:space="preserve">безготівкові кошти </w:t>
      </w:r>
      <w:r w:rsidR="00135353">
        <w:rPr>
          <w:bCs/>
          <w:sz w:val="28"/>
          <w:szCs w:val="28"/>
          <w:lang w:val="uk-UA" w:eastAsia="uk-UA"/>
        </w:rPr>
        <w:t>в</w:t>
      </w:r>
      <w:r w:rsidR="00135353" w:rsidRPr="00E60E7E">
        <w:rPr>
          <w:bCs/>
          <w:sz w:val="28"/>
          <w:szCs w:val="28"/>
          <w:lang w:val="uk-UA" w:eastAsia="uk-UA"/>
        </w:rPr>
        <w:t xml:space="preserve"> </w:t>
      </w:r>
      <w:r w:rsidRPr="00E60E7E">
        <w:rPr>
          <w:bCs/>
          <w:sz w:val="28"/>
          <w:szCs w:val="28"/>
          <w:lang w:val="uk-UA" w:eastAsia="uk-UA"/>
        </w:rPr>
        <w:t>гривні</w:t>
      </w:r>
      <w:r w:rsidRPr="00E60E7E">
        <w:rPr>
          <w:bCs/>
          <w:sz w:val="28"/>
          <w:szCs w:val="28"/>
          <w:shd w:val="clear" w:color="auto" w:fill="FFFFFF"/>
          <w:lang w:val="uk-UA"/>
        </w:rPr>
        <w:t>;</w:t>
      </w:r>
    </w:p>
    <w:p w14:paraId="4C7E5F7A" w14:textId="77777777" w:rsidR="0012072A" w:rsidRDefault="0012072A" w:rsidP="00AB7797">
      <w:pPr>
        <w:ind w:firstLine="709"/>
      </w:pPr>
    </w:p>
    <w:p w14:paraId="3F2DD0B2" w14:textId="6EDD49F3" w:rsidR="00AB7797" w:rsidRPr="00E60E7E" w:rsidRDefault="00AB7797" w:rsidP="00AB7797">
      <w:pPr>
        <w:ind w:firstLine="709"/>
      </w:pPr>
      <w:r w:rsidRPr="00E60E7E">
        <w:t>4</w:t>
      </w:r>
      <w:r w:rsidRPr="007179B2">
        <w:t xml:space="preserve">) обмін </w:t>
      </w:r>
      <w:r w:rsidR="00D63305" w:rsidRPr="007179B2">
        <w:t>фізичним особам –</w:t>
      </w:r>
      <w:r w:rsidR="00310CBB" w:rsidRPr="007179B2">
        <w:t xml:space="preserve"> резидентам і нерезидентам</w:t>
      </w:r>
      <w:r w:rsidR="00310CBB" w:rsidRPr="007179B2">
        <w:rPr>
          <w:b/>
        </w:rPr>
        <w:t xml:space="preserve"> </w:t>
      </w:r>
      <w:r w:rsidRPr="007179B2">
        <w:t xml:space="preserve">одного банківського металу </w:t>
      </w:r>
      <w:r w:rsidR="00155174" w:rsidRPr="007179B2">
        <w:t>на</w:t>
      </w:r>
      <w:r w:rsidRPr="007179B2">
        <w:t xml:space="preserve"> інший банківський метал </w:t>
      </w:r>
      <w:r w:rsidR="00135353">
        <w:t>і</w:t>
      </w:r>
      <w:r w:rsidRPr="007179B2">
        <w:t>з фізичною поставкою або готівку іноземної валюти.”;</w:t>
      </w:r>
    </w:p>
    <w:p w14:paraId="5BAC0FC2" w14:textId="77777777" w:rsidR="00AB7797" w:rsidRDefault="00AB7797" w:rsidP="00AB7797">
      <w:pPr>
        <w:ind w:firstLine="709"/>
      </w:pPr>
    </w:p>
    <w:p w14:paraId="21733C49" w14:textId="2E915E2B" w:rsidR="00C44D3D" w:rsidRPr="00F07EF2" w:rsidRDefault="00E5388C" w:rsidP="0012072A">
      <w:pPr>
        <w:ind w:firstLine="709"/>
      </w:pPr>
      <w:r>
        <w:t>3</w:t>
      </w:r>
      <w:r w:rsidR="00AB7797" w:rsidRPr="00E60E7E">
        <w:t>)</w:t>
      </w:r>
      <w:r w:rsidR="00AB7797">
        <w:t xml:space="preserve"> у підпункті 2 пункту 17 слово </w:t>
      </w:r>
      <w:r w:rsidR="00AB7797" w:rsidRPr="00E60E7E">
        <w:t>“готівкові</w:t>
      </w:r>
      <w:r w:rsidR="00AB7797">
        <w:t>”</w:t>
      </w:r>
      <w:r w:rsidR="00AB7797" w:rsidRPr="00E60E7E">
        <w:t xml:space="preserve"> виключити.</w:t>
      </w:r>
    </w:p>
    <w:p w14:paraId="32B2F6CB" w14:textId="59372324" w:rsidR="00FA508E" w:rsidRDefault="00FA508E" w:rsidP="00FA508E">
      <w:pPr>
        <w:jc w:val="left"/>
      </w:pPr>
    </w:p>
    <w:p w14:paraId="384CE8AE" w14:textId="77777777" w:rsidR="007F7754" w:rsidRDefault="007F7754" w:rsidP="00FA508E">
      <w:pPr>
        <w:jc w:val="left"/>
        <w:sectPr w:rsidR="007F7754" w:rsidSect="00F01069">
          <w:headerReference w:type="first" r:id="rId17"/>
          <w:pgSz w:w="11906" w:h="16838" w:code="9"/>
          <w:pgMar w:top="567" w:right="567" w:bottom="1701" w:left="1701" w:header="709" w:footer="709" w:gutter="0"/>
          <w:pgNumType w:start="1"/>
          <w:cols w:space="708"/>
          <w:titlePg/>
          <w:docGrid w:linePitch="381"/>
        </w:sectPr>
      </w:pPr>
    </w:p>
    <w:p w14:paraId="094D1914" w14:textId="77777777" w:rsidR="007F7754" w:rsidRPr="00F07EF2" w:rsidRDefault="007F7754" w:rsidP="007F7754">
      <w:pPr>
        <w:ind w:left="5529"/>
      </w:pPr>
      <w:r w:rsidRPr="00F07EF2">
        <w:t xml:space="preserve">ЗАТВЕРДЖЕНО </w:t>
      </w:r>
    </w:p>
    <w:p w14:paraId="6DC7CE08" w14:textId="77777777" w:rsidR="007F7754" w:rsidRPr="00F07EF2" w:rsidRDefault="007F7754" w:rsidP="007F7754">
      <w:pPr>
        <w:ind w:left="5529"/>
      </w:pPr>
      <w:r w:rsidRPr="00F07EF2">
        <w:t>Постанова</w:t>
      </w:r>
      <w:r>
        <w:t> </w:t>
      </w:r>
      <w:r w:rsidRPr="00F07EF2">
        <w:t>Правління Національного банку України</w:t>
      </w:r>
    </w:p>
    <w:p w14:paraId="3C27F837" w14:textId="3FA449A8" w:rsidR="00F01069" w:rsidRPr="00F01069" w:rsidRDefault="00F01069" w:rsidP="00F01069">
      <w:pPr>
        <w:ind w:left="5529"/>
      </w:pPr>
      <w:r w:rsidRPr="00F01069">
        <w:rPr>
          <w:lang w:val="en-US"/>
        </w:rPr>
        <w:t xml:space="preserve">29 </w:t>
      </w:r>
      <w:r w:rsidRPr="00F01069">
        <w:t>червня 2021 року № 6</w:t>
      </w:r>
      <w:r w:rsidR="00D43518">
        <w:t>2</w:t>
      </w:r>
    </w:p>
    <w:p w14:paraId="72046604" w14:textId="77777777" w:rsidR="007F7754" w:rsidRPr="00341EEB" w:rsidRDefault="007F7754" w:rsidP="007F7754">
      <w:pPr>
        <w:ind w:firstLine="709"/>
        <w:rPr>
          <w:lang w:val="ru-RU"/>
        </w:rPr>
      </w:pPr>
    </w:p>
    <w:p w14:paraId="2DCAA316" w14:textId="77777777" w:rsidR="007F7754" w:rsidRPr="00F07EF2" w:rsidRDefault="007F7754" w:rsidP="007F7754">
      <w:pPr>
        <w:pStyle w:val="af3"/>
        <w:ind w:left="0" w:firstLine="708"/>
      </w:pPr>
      <w:r w:rsidRPr="00F07EF2">
        <w:t>Зміни до Положення про здійснення операцій із валютними цінностями</w:t>
      </w:r>
    </w:p>
    <w:p w14:paraId="51DF51BE" w14:textId="77777777" w:rsidR="007F7754" w:rsidRPr="00F07EF2" w:rsidRDefault="007F7754" w:rsidP="007F7754">
      <w:pPr>
        <w:pStyle w:val="af3"/>
        <w:ind w:left="0" w:firstLine="708"/>
      </w:pPr>
    </w:p>
    <w:p w14:paraId="725A3468" w14:textId="20BE5990" w:rsidR="00BD79DE" w:rsidRPr="00F07EF2" w:rsidRDefault="007F7754" w:rsidP="00BD79DE">
      <w:pPr>
        <w:tabs>
          <w:tab w:val="left" w:pos="0"/>
        </w:tabs>
        <w:ind w:left="705"/>
      </w:pPr>
      <w:r>
        <w:tab/>
      </w:r>
      <w:r w:rsidRPr="00F07EF2">
        <w:t>1. </w:t>
      </w:r>
      <w:r>
        <w:t>У</w:t>
      </w:r>
      <w:r w:rsidR="00AB3C0E">
        <w:t xml:space="preserve"> пункті 11</w:t>
      </w:r>
      <w:r w:rsidR="00BD79DE">
        <w:t xml:space="preserve"> </w:t>
      </w:r>
      <w:r w:rsidR="00BD79DE" w:rsidRPr="00F07EF2">
        <w:t>розділ</w:t>
      </w:r>
      <w:r w:rsidR="00AB3C0E">
        <w:t>у</w:t>
      </w:r>
      <w:r w:rsidR="00BD79DE" w:rsidRPr="00F07EF2">
        <w:t xml:space="preserve"> ІІ:</w:t>
      </w:r>
    </w:p>
    <w:p w14:paraId="09997258" w14:textId="247CA10B" w:rsidR="00BD79DE" w:rsidRPr="00514135" w:rsidRDefault="00BD79DE" w:rsidP="00BD79DE">
      <w:pPr>
        <w:tabs>
          <w:tab w:val="left" w:pos="0"/>
        </w:tabs>
        <w:ind w:left="705"/>
      </w:pPr>
    </w:p>
    <w:p w14:paraId="6DF255E3" w14:textId="76498A6A" w:rsidR="00A10493" w:rsidRPr="00514135" w:rsidRDefault="00514135" w:rsidP="002A1C9A">
      <w:pPr>
        <w:tabs>
          <w:tab w:val="left" w:pos="0"/>
        </w:tabs>
        <w:ind w:firstLine="709"/>
      </w:pPr>
      <w:r>
        <w:t>1</w:t>
      </w:r>
      <w:r w:rsidRPr="00514135">
        <w:t>) </w:t>
      </w:r>
      <w:r w:rsidR="00B4613D" w:rsidRPr="00514135">
        <w:t>підпункт</w:t>
      </w:r>
      <w:r w:rsidR="002A49DE" w:rsidRPr="00514135">
        <w:t xml:space="preserve"> 2 після слів </w:t>
      </w:r>
      <w:r w:rsidR="00B4613D" w:rsidRPr="00514135">
        <w:t>“</w:t>
      </w:r>
      <w:r w:rsidR="002A49DE" w:rsidRPr="00514135">
        <w:t>іноземної ва</w:t>
      </w:r>
      <w:r w:rsidR="00B4613D" w:rsidRPr="00514135">
        <w:t>лютиˮ доповнити словами “/банківських металівˮ;</w:t>
      </w:r>
    </w:p>
    <w:p w14:paraId="1FFB2A00" w14:textId="77777777" w:rsidR="00BD4D57" w:rsidRDefault="00BD4D57" w:rsidP="00A10493">
      <w:pPr>
        <w:tabs>
          <w:tab w:val="left" w:pos="0"/>
        </w:tabs>
        <w:ind w:firstLine="709"/>
      </w:pPr>
    </w:p>
    <w:p w14:paraId="5B892BF8" w14:textId="209C9E0E" w:rsidR="00B4613D" w:rsidRPr="00514135" w:rsidRDefault="00BD4D57" w:rsidP="00A10493">
      <w:pPr>
        <w:tabs>
          <w:tab w:val="left" w:pos="0"/>
        </w:tabs>
        <w:ind w:firstLine="709"/>
      </w:pPr>
      <w:r>
        <w:t xml:space="preserve">2) </w:t>
      </w:r>
      <w:r w:rsidR="00B4613D" w:rsidRPr="00514135">
        <w:t>у підпункті 6:</w:t>
      </w:r>
    </w:p>
    <w:p w14:paraId="5C3AFC16" w14:textId="09E6234D" w:rsidR="002A49DE" w:rsidRPr="00514135" w:rsidRDefault="00B4613D" w:rsidP="00B4613D">
      <w:pPr>
        <w:tabs>
          <w:tab w:val="left" w:pos="0"/>
        </w:tabs>
        <w:ind w:firstLine="709"/>
      </w:pPr>
      <w:r w:rsidRPr="00514135">
        <w:t>після слів “іноземної валютиˮ доповнити словами “/банківських металівˮ;</w:t>
      </w:r>
    </w:p>
    <w:p w14:paraId="0879B036" w14:textId="14C8272A" w:rsidR="00B4613D" w:rsidRPr="00514135" w:rsidRDefault="00B4613D" w:rsidP="00B4613D">
      <w:pPr>
        <w:tabs>
          <w:tab w:val="left" w:pos="0"/>
        </w:tabs>
        <w:ind w:firstLine="709"/>
      </w:pPr>
      <w:r w:rsidRPr="00514135">
        <w:t>слово “валютнаˮ виключити</w:t>
      </w:r>
      <w:r w:rsidR="00886149">
        <w:t>.</w:t>
      </w:r>
    </w:p>
    <w:p w14:paraId="35BCCA2B" w14:textId="3E151E60" w:rsidR="002A49DE" w:rsidRDefault="002A49DE" w:rsidP="00BD79DE">
      <w:pPr>
        <w:tabs>
          <w:tab w:val="left" w:pos="0"/>
        </w:tabs>
        <w:ind w:left="705"/>
      </w:pPr>
    </w:p>
    <w:p w14:paraId="4B3B2AF5" w14:textId="3E50125C" w:rsidR="00B3665D" w:rsidRDefault="00B3665D" w:rsidP="00BD79DE">
      <w:pPr>
        <w:tabs>
          <w:tab w:val="left" w:pos="0"/>
        </w:tabs>
        <w:ind w:left="705"/>
        <w:rPr>
          <w:lang w:val="ru-RU"/>
        </w:rPr>
      </w:pPr>
      <w:r>
        <w:t xml:space="preserve">2. У розділі </w:t>
      </w:r>
      <w:r>
        <w:rPr>
          <w:lang w:val="en-US"/>
        </w:rPr>
        <w:t>III</w:t>
      </w:r>
      <w:r>
        <w:rPr>
          <w:lang w:val="ru-RU"/>
        </w:rPr>
        <w:t>:</w:t>
      </w:r>
    </w:p>
    <w:p w14:paraId="20DD2519" w14:textId="77777777" w:rsidR="00B3665D" w:rsidRPr="00E72CD5" w:rsidRDefault="00B3665D" w:rsidP="00BD79DE">
      <w:pPr>
        <w:tabs>
          <w:tab w:val="left" w:pos="0"/>
        </w:tabs>
        <w:ind w:left="705"/>
        <w:rPr>
          <w:lang w:val="ru-RU"/>
        </w:rPr>
      </w:pPr>
    </w:p>
    <w:p w14:paraId="5F8C7166" w14:textId="19082222" w:rsidR="0012072A" w:rsidRPr="0037618F" w:rsidRDefault="009A601D" w:rsidP="0037618F">
      <w:pPr>
        <w:tabs>
          <w:tab w:val="left" w:pos="0"/>
        </w:tabs>
        <w:ind w:firstLine="705"/>
        <w:rPr>
          <w:shd w:val="clear" w:color="auto" w:fill="FFFFFF"/>
        </w:rPr>
      </w:pPr>
      <w:r>
        <w:rPr>
          <w:lang w:val="ru-RU"/>
        </w:rPr>
        <w:t>1</w:t>
      </w:r>
      <w:r w:rsidR="00BD79DE" w:rsidRPr="00514135">
        <w:t>) </w:t>
      </w:r>
      <w:r w:rsidR="0037618F" w:rsidRPr="00514135">
        <w:t>пункт 13 після слів “</w:t>
      </w:r>
      <w:r w:rsidR="0037618F" w:rsidRPr="00514135">
        <w:rPr>
          <w:shd w:val="clear" w:color="auto" w:fill="FFFFFF"/>
        </w:rPr>
        <w:t xml:space="preserve">здійснює операції з банківськими металами та валютно-обмінні </w:t>
      </w:r>
      <w:r w:rsidR="0037618F" w:rsidRPr="00ED68DE">
        <w:rPr>
          <w:shd w:val="clear" w:color="auto" w:fill="FFFFFF"/>
        </w:rPr>
        <w:t>операції</w:t>
      </w:r>
      <w:r w:rsidR="0037618F" w:rsidRPr="00F07EF2">
        <w:t>ˮ</w:t>
      </w:r>
      <w:r w:rsidR="0037618F" w:rsidRPr="0037618F">
        <w:t xml:space="preserve"> </w:t>
      </w:r>
      <w:r w:rsidR="0037618F" w:rsidRPr="0037618F">
        <w:rPr>
          <w:shd w:val="clear" w:color="auto" w:fill="FFFFFF"/>
        </w:rPr>
        <w:t>доповнити словами “з клієнтами – фізичними особамиˮ;</w:t>
      </w:r>
    </w:p>
    <w:p w14:paraId="64F95565" w14:textId="77777777" w:rsidR="0037618F" w:rsidRPr="0037618F" w:rsidRDefault="0037618F" w:rsidP="0037618F">
      <w:pPr>
        <w:tabs>
          <w:tab w:val="left" w:pos="0"/>
        </w:tabs>
        <w:ind w:firstLine="705"/>
        <w:rPr>
          <w:shd w:val="clear" w:color="auto" w:fill="FFFFFF"/>
        </w:rPr>
      </w:pPr>
    </w:p>
    <w:p w14:paraId="0D34E900" w14:textId="061585F8" w:rsidR="0037618F" w:rsidRPr="0037618F" w:rsidRDefault="009A601D" w:rsidP="0037618F">
      <w:pPr>
        <w:tabs>
          <w:tab w:val="left" w:pos="0"/>
        </w:tabs>
        <w:ind w:firstLine="705"/>
        <w:rPr>
          <w:shd w:val="clear" w:color="auto" w:fill="FFFFFF"/>
        </w:rPr>
      </w:pPr>
      <w:r>
        <w:rPr>
          <w:shd w:val="clear" w:color="auto" w:fill="FFFFFF"/>
          <w:lang w:val="ru-RU"/>
        </w:rPr>
        <w:t>2</w:t>
      </w:r>
      <w:r w:rsidR="0037618F" w:rsidRPr="0037618F">
        <w:rPr>
          <w:shd w:val="clear" w:color="auto" w:fill="FFFFFF"/>
        </w:rPr>
        <w:t>) розділ після пункту 13 доповнити новим пунктом 13</w:t>
      </w:r>
      <w:r w:rsidR="0037618F" w:rsidRPr="0037618F">
        <w:rPr>
          <w:shd w:val="clear" w:color="auto" w:fill="FFFFFF"/>
          <w:vertAlign w:val="superscript"/>
        </w:rPr>
        <w:t>1</w:t>
      </w:r>
      <w:r w:rsidR="0037618F" w:rsidRPr="0037618F">
        <w:rPr>
          <w:shd w:val="clear" w:color="auto" w:fill="FFFFFF"/>
        </w:rPr>
        <w:t xml:space="preserve"> такого змісту:</w:t>
      </w:r>
    </w:p>
    <w:p w14:paraId="28FC49A3" w14:textId="23BB71B4" w:rsidR="0012072A" w:rsidRPr="0037618F" w:rsidRDefault="0037618F" w:rsidP="00BD79DE">
      <w:pPr>
        <w:tabs>
          <w:tab w:val="left" w:pos="0"/>
        </w:tabs>
        <w:ind w:firstLine="705"/>
        <w:rPr>
          <w:shd w:val="clear" w:color="auto" w:fill="FFFFFF"/>
        </w:rPr>
      </w:pPr>
      <w:r w:rsidRPr="0037618F">
        <w:rPr>
          <w:shd w:val="clear" w:color="auto" w:fill="FFFFFF"/>
        </w:rPr>
        <w:t>“13</w:t>
      </w:r>
      <w:r w:rsidRPr="0037618F">
        <w:rPr>
          <w:shd w:val="clear" w:color="auto" w:fill="FFFFFF"/>
          <w:vertAlign w:val="superscript"/>
        </w:rPr>
        <w:t>1</w:t>
      </w:r>
      <w:r w:rsidRPr="0037618F">
        <w:rPr>
          <w:shd w:val="clear" w:color="auto" w:fill="FFFFFF"/>
        </w:rPr>
        <w:t>. Банк здійснює операції з продажу клієнтам – юридичним особам банківських металів у вигляді монет</w:t>
      </w:r>
      <w:r w:rsidR="004E4C97">
        <w:rPr>
          <w:shd w:val="clear" w:color="auto" w:fill="FFFFFF"/>
        </w:rPr>
        <w:t xml:space="preserve"> </w:t>
      </w:r>
      <w:r w:rsidR="001008B0">
        <w:rPr>
          <w:shd w:val="clear" w:color="auto" w:fill="FFFFFF"/>
        </w:rPr>
        <w:t>і</w:t>
      </w:r>
      <w:r w:rsidRPr="0037618F">
        <w:rPr>
          <w:shd w:val="clear" w:color="auto" w:fill="FFFFFF"/>
        </w:rPr>
        <w:t xml:space="preserve">з фізичною </w:t>
      </w:r>
      <w:r w:rsidRPr="00075CC7">
        <w:rPr>
          <w:shd w:val="clear" w:color="auto" w:fill="FFFFFF"/>
        </w:rPr>
        <w:t xml:space="preserve">поставкою </w:t>
      </w:r>
      <w:r w:rsidR="00075CC7" w:rsidRPr="00075CC7">
        <w:t xml:space="preserve">(далі – банківських металів у вигляді монет) </w:t>
      </w:r>
      <w:r w:rsidRPr="00075CC7">
        <w:rPr>
          <w:shd w:val="clear" w:color="auto" w:fill="FFFFFF"/>
        </w:rPr>
        <w:t xml:space="preserve">з </w:t>
      </w:r>
      <w:r w:rsidRPr="0037618F">
        <w:rPr>
          <w:shd w:val="clear" w:color="auto" w:fill="FFFFFF"/>
        </w:rPr>
        <w:t xml:space="preserve">оформленням квитанції про здійснення операції </w:t>
      </w:r>
      <w:r w:rsidR="00135353">
        <w:rPr>
          <w:shd w:val="clear" w:color="auto" w:fill="FFFFFF"/>
        </w:rPr>
        <w:t xml:space="preserve">з </w:t>
      </w:r>
      <w:r w:rsidRPr="0037618F">
        <w:rPr>
          <w:shd w:val="clear" w:color="auto" w:fill="FFFFFF"/>
        </w:rPr>
        <w:t>продажу банківських металів у вигляді монет</w:t>
      </w:r>
      <w:r w:rsidR="004E4C97">
        <w:rPr>
          <w:shd w:val="clear" w:color="auto" w:fill="FFFFFF"/>
        </w:rPr>
        <w:t xml:space="preserve"> </w:t>
      </w:r>
      <w:r w:rsidRPr="0037618F">
        <w:rPr>
          <w:shd w:val="clear" w:color="auto" w:fill="FFFFFF"/>
        </w:rPr>
        <w:t xml:space="preserve"> </w:t>
      </w:r>
      <w:r w:rsidR="006E799C">
        <w:rPr>
          <w:shd w:val="clear" w:color="auto" w:fill="FFFFFF"/>
        </w:rPr>
        <w:t>і</w:t>
      </w:r>
      <w:r w:rsidRPr="0037618F">
        <w:rPr>
          <w:shd w:val="clear" w:color="auto" w:fill="FFFFFF"/>
        </w:rPr>
        <w:t>з фізичною поставкою (додаток 2 до цього Положення) (далі – квитанція про продаж монет).ˮ;</w:t>
      </w:r>
    </w:p>
    <w:p w14:paraId="2B3E6AF4" w14:textId="58D8E8FB" w:rsidR="0037618F" w:rsidRPr="0037618F" w:rsidRDefault="0037618F" w:rsidP="00BD79DE">
      <w:pPr>
        <w:tabs>
          <w:tab w:val="left" w:pos="0"/>
        </w:tabs>
        <w:ind w:firstLine="705"/>
        <w:rPr>
          <w:shd w:val="clear" w:color="auto" w:fill="FFFFFF"/>
        </w:rPr>
      </w:pPr>
    </w:p>
    <w:p w14:paraId="467240BC" w14:textId="42547D0F" w:rsidR="0037618F" w:rsidRDefault="009A601D" w:rsidP="0037618F">
      <w:pPr>
        <w:ind w:firstLine="705"/>
        <w:outlineLvl w:val="2"/>
      </w:pPr>
      <w:r>
        <w:rPr>
          <w:lang w:val="ru-RU"/>
        </w:rPr>
        <w:t>3</w:t>
      </w:r>
      <w:r w:rsidR="0037618F" w:rsidRPr="0037618F">
        <w:rPr>
          <w:shd w:val="clear" w:color="auto" w:fill="FFFFFF"/>
        </w:rPr>
        <w:t>) </w:t>
      </w:r>
      <w:r w:rsidR="0037618F">
        <w:t xml:space="preserve"> пункт 14 викласти в такій редакції:</w:t>
      </w:r>
    </w:p>
    <w:p w14:paraId="5D47C814" w14:textId="7D3B1A0D" w:rsidR="0037618F" w:rsidRPr="003D17CE" w:rsidRDefault="0037618F" w:rsidP="0037618F">
      <w:pPr>
        <w:ind w:firstLine="705"/>
        <w:outlineLvl w:val="2"/>
        <w:rPr>
          <w:shd w:val="clear" w:color="auto" w:fill="FFFFFF"/>
        </w:rPr>
      </w:pPr>
      <w:r w:rsidRPr="0037618F">
        <w:rPr>
          <w:shd w:val="clear" w:color="auto" w:fill="FFFFFF"/>
        </w:rPr>
        <w:t>“</w:t>
      </w:r>
      <w:r w:rsidRPr="00ED68DE">
        <w:rPr>
          <w:shd w:val="clear" w:color="auto" w:fill="FFFFFF"/>
        </w:rPr>
        <w:t xml:space="preserve">14. Банк оформляє </w:t>
      </w:r>
      <w:r w:rsidRPr="003D17CE">
        <w:rPr>
          <w:shd w:val="clear" w:color="auto" w:fill="FFFFFF"/>
        </w:rPr>
        <w:t>квитанцію/квитанцію про продаж монет у вигляді паперового або електронного документа.</w:t>
      </w:r>
    </w:p>
    <w:p w14:paraId="25D38035" w14:textId="77777777" w:rsidR="0037618F" w:rsidRPr="003D17CE" w:rsidRDefault="0037618F" w:rsidP="00C368A1">
      <w:pPr>
        <w:ind w:firstLine="705"/>
        <w:outlineLvl w:val="2"/>
        <w:rPr>
          <w:shd w:val="clear" w:color="auto" w:fill="FFFFFF"/>
        </w:rPr>
      </w:pPr>
      <w:r w:rsidRPr="003D17CE">
        <w:rPr>
          <w:shd w:val="clear" w:color="auto" w:fill="FFFFFF"/>
        </w:rPr>
        <w:t>Банк надає фізичній особі/юридичній особі перший примірник квитанції/квитанції про продаж монет, оформленої у вигляді паперового документа, або квитанцію/квитанцію про продаж монет, оформлену у вигляді електронного документа. Другий примірник квитанції/квитанції про продаж монет зберігається у вигляді паперового або електронного документа в банку.</w:t>
      </w:r>
    </w:p>
    <w:p w14:paraId="146EBAD4" w14:textId="78637116" w:rsidR="0037618F" w:rsidRDefault="0037618F" w:rsidP="0037618F">
      <w:pPr>
        <w:tabs>
          <w:tab w:val="left" w:pos="0"/>
        </w:tabs>
        <w:ind w:firstLine="705"/>
      </w:pPr>
      <w:r w:rsidRPr="003D17CE">
        <w:rPr>
          <w:shd w:val="clear" w:color="auto" w:fill="FFFFFF"/>
        </w:rPr>
        <w:t>Банк має право за письмовою згодою клієнта – фізичної особи не оформляти перший примірник квитанції. Банк не здійснює операцію сторно</w:t>
      </w:r>
      <w:r w:rsidR="00135353">
        <w:rPr>
          <w:shd w:val="clear" w:color="auto" w:fill="FFFFFF"/>
        </w:rPr>
        <w:t>,</w:t>
      </w:r>
      <w:r w:rsidRPr="003D17CE">
        <w:rPr>
          <w:shd w:val="clear" w:color="auto" w:fill="FFFFFF"/>
        </w:rPr>
        <w:t xml:space="preserve"> </w:t>
      </w:r>
      <w:r w:rsidR="00135353">
        <w:rPr>
          <w:shd w:val="clear" w:color="auto" w:fill="FFFFFF"/>
        </w:rPr>
        <w:t>якщо</w:t>
      </w:r>
      <w:r w:rsidRPr="003D17CE">
        <w:rPr>
          <w:shd w:val="clear" w:color="auto" w:fill="FFFFFF"/>
        </w:rPr>
        <w:t xml:space="preserve"> в клієнта – фізичної особи </w:t>
      </w:r>
      <w:r w:rsidR="00135353">
        <w:rPr>
          <w:shd w:val="clear" w:color="auto" w:fill="FFFFFF"/>
        </w:rPr>
        <w:t xml:space="preserve">немає </w:t>
      </w:r>
      <w:r w:rsidRPr="003D17CE">
        <w:rPr>
          <w:shd w:val="clear" w:color="auto" w:fill="FFFFFF"/>
        </w:rPr>
        <w:t>першого</w:t>
      </w:r>
      <w:r w:rsidRPr="00ED68DE">
        <w:rPr>
          <w:shd w:val="clear" w:color="auto" w:fill="FFFFFF"/>
        </w:rPr>
        <w:t xml:space="preserve"> примірника квитанції.</w:t>
      </w:r>
      <w:r w:rsidRPr="0037618F">
        <w:rPr>
          <w:shd w:val="clear" w:color="auto" w:fill="FFFFFF"/>
        </w:rPr>
        <w:t>ˮ;</w:t>
      </w:r>
    </w:p>
    <w:p w14:paraId="62CE386B" w14:textId="77777777" w:rsidR="0012072A" w:rsidRDefault="0012072A" w:rsidP="00BD79DE">
      <w:pPr>
        <w:tabs>
          <w:tab w:val="left" w:pos="0"/>
        </w:tabs>
        <w:ind w:firstLine="705"/>
      </w:pPr>
    </w:p>
    <w:p w14:paraId="04D77700" w14:textId="59E188F2" w:rsidR="00B4613D" w:rsidRDefault="00D64B4B" w:rsidP="0037618F">
      <w:pPr>
        <w:ind w:firstLine="705"/>
        <w:outlineLvl w:val="2"/>
        <w:rPr>
          <w:shd w:val="clear" w:color="auto" w:fill="FFFFFF"/>
        </w:rPr>
      </w:pPr>
      <w:r>
        <w:rPr>
          <w:shd w:val="clear" w:color="auto" w:fill="FFFFFF"/>
          <w:lang w:val="ru-RU"/>
        </w:rPr>
        <w:t>4</w:t>
      </w:r>
      <w:r w:rsidR="00C37952" w:rsidRPr="0037618F">
        <w:rPr>
          <w:shd w:val="clear" w:color="auto" w:fill="FFFFFF"/>
        </w:rPr>
        <w:t>)</w:t>
      </w:r>
      <w:r w:rsidR="00C37952">
        <w:rPr>
          <w:shd w:val="clear" w:color="auto" w:fill="FFFFFF"/>
        </w:rPr>
        <w:t> </w:t>
      </w:r>
      <w:r w:rsidR="00B4613D">
        <w:rPr>
          <w:shd w:val="clear" w:color="auto" w:fill="FFFFFF"/>
        </w:rPr>
        <w:t xml:space="preserve">розділ після пункту 15 доповнити двома новими пунктами </w:t>
      </w:r>
      <w:r w:rsidR="00B4613D" w:rsidRPr="00B4613D">
        <w:rPr>
          <w:shd w:val="clear" w:color="auto" w:fill="FFFFFF"/>
        </w:rPr>
        <w:t>15</w:t>
      </w:r>
      <w:r w:rsidR="00B4613D" w:rsidRPr="00B4613D">
        <w:rPr>
          <w:shd w:val="clear" w:color="auto" w:fill="FFFFFF"/>
          <w:vertAlign w:val="superscript"/>
        </w:rPr>
        <w:t>1</w:t>
      </w:r>
      <w:r w:rsidR="00B4613D" w:rsidRPr="00B4613D">
        <w:rPr>
          <w:shd w:val="clear" w:color="auto" w:fill="FFFFFF"/>
        </w:rPr>
        <w:t>, 15</w:t>
      </w:r>
      <w:r w:rsidR="00B4613D" w:rsidRPr="00B4613D">
        <w:rPr>
          <w:shd w:val="clear" w:color="auto" w:fill="FFFFFF"/>
          <w:vertAlign w:val="superscript"/>
        </w:rPr>
        <w:t>2</w:t>
      </w:r>
      <w:r w:rsidR="00B4613D">
        <w:rPr>
          <w:shd w:val="clear" w:color="auto" w:fill="FFFFFF"/>
        </w:rPr>
        <w:t xml:space="preserve"> такого змісту: </w:t>
      </w:r>
    </w:p>
    <w:p w14:paraId="5A8C2364" w14:textId="6A2DB0E8" w:rsidR="00B4613D" w:rsidRPr="007179B2" w:rsidRDefault="00B4613D" w:rsidP="0037618F">
      <w:pPr>
        <w:ind w:firstLine="705"/>
        <w:outlineLvl w:val="2"/>
        <w:rPr>
          <w:bCs/>
        </w:rPr>
      </w:pPr>
      <w:r w:rsidRPr="007179B2">
        <w:rPr>
          <w:shd w:val="clear" w:color="auto" w:fill="FFFFFF"/>
        </w:rPr>
        <w:t>“</w:t>
      </w:r>
      <w:r w:rsidRPr="007179B2">
        <w:rPr>
          <w:bCs/>
        </w:rPr>
        <w:t>15</w:t>
      </w:r>
      <w:r w:rsidRPr="007179B2">
        <w:rPr>
          <w:bCs/>
          <w:vertAlign w:val="superscript"/>
        </w:rPr>
        <w:t>1</w:t>
      </w:r>
      <w:r w:rsidR="00075CC7" w:rsidRPr="007179B2">
        <w:rPr>
          <w:bCs/>
        </w:rPr>
        <w:t>. Банк, небанківська установа</w:t>
      </w:r>
      <w:r w:rsidRPr="007179B2">
        <w:rPr>
          <w:bCs/>
        </w:rPr>
        <w:t xml:space="preserve"> </w:t>
      </w:r>
      <w:r w:rsidR="00322472" w:rsidRPr="007179B2">
        <w:rPr>
          <w:bCs/>
        </w:rPr>
        <w:t xml:space="preserve">мають право </w:t>
      </w:r>
      <w:r w:rsidR="008A694D" w:rsidRPr="007179B2">
        <w:rPr>
          <w:bCs/>
        </w:rPr>
        <w:t>здійсню</w:t>
      </w:r>
      <w:r w:rsidR="00322472" w:rsidRPr="007179B2">
        <w:rPr>
          <w:bCs/>
        </w:rPr>
        <w:t>вати</w:t>
      </w:r>
      <w:r w:rsidRPr="007179B2">
        <w:rPr>
          <w:bCs/>
        </w:rPr>
        <w:t xml:space="preserve"> </w:t>
      </w:r>
      <w:r w:rsidR="00135353">
        <w:rPr>
          <w:bCs/>
        </w:rPr>
        <w:t>в</w:t>
      </w:r>
      <w:r w:rsidR="00135353" w:rsidRPr="007179B2">
        <w:rPr>
          <w:bCs/>
        </w:rPr>
        <w:t xml:space="preserve"> </w:t>
      </w:r>
      <w:r w:rsidRPr="007179B2">
        <w:rPr>
          <w:bCs/>
        </w:rPr>
        <w:t xml:space="preserve">касах банку, небанківської установи, пунктах обміну валюти операції з купівлі готівки іноземної валюти у фізичних осіб та продажу готівки іноземної валюти фізичним особам за </w:t>
      </w:r>
      <w:r w:rsidR="00322472" w:rsidRPr="007179B2">
        <w:rPr>
          <w:bCs/>
        </w:rPr>
        <w:t xml:space="preserve">готівкові або </w:t>
      </w:r>
      <w:r w:rsidRPr="007179B2">
        <w:rPr>
          <w:bCs/>
        </w:rPr>
        <w:t>безготівкові кошти в гривні.</w:t>
      </w:r>
    </w:p>
    <w:p w14:paraId="50F74A4F" w14:textId="1A6936FE" w:rsidR="00B4613D" w:rsidRPr="007179B2" w:rsidRDefault="00B4613D" w:rsidP="0037618F">
      <w:pPr>
        <w:ind w:firstLine="705"/>
        <w:outlineLvl w:val="2"/>
        <w:rPr>
          <w:bCs/>
        </w:rPr>
      </w:pPr>
    </w:p>
    <w:p w14:paraId="516F7C7F" w14:textId="31BFDDF5" w:rsidR="00B4613D" w:rsidRPr="00F440E4" w:rsidRDefault="00B4613D" w:rsidP="0037618F">
      <w:pPr>
        <w:ind w:firstLine="705"/>
        <w:outlineLvl w:val="2"/>
        <w:rPr>
          <w:shd w:val="clear" w:color="auto" w:fill="FFFFFF"/>
        </w:rPr>
      </w:pPr>
      <w:r w:rsidRPr="007179B2">
        <w:rPr>
          <w:bCs/>
        </w:rPr>
        <w:t>15</w:t>
      </w:r>
      <w:r w:rsidRPr="007179B2">
        <w:rPr>
          <w:bCs/>
          <w:vertAlign w:val="superscript"/>
        </w:rPr>
        <w:t>2</w:t>
      </w:r>
      <w:r w:rsidR="00075CC7" w:rsidRPr="007179B2">
        <w:rPr>
          <w:bCs/>
        </w:rPr>
        <w:t>. Банк</w:t>
      </w:r>
      <w:r w:rsidRPr="007179B2">
        <w:rPr>
          <w:bCs/>
        </w:rPr>
        <w:t xml:space="preserve"> </w:t>
      </w:r>
      <w:r w:rsidR="00322472" w:rsidRPr="007179B2">
        <w:rPr>
          <w:bCs/>
        </w:rPr>
        <w:t>має право здійснювати</w:t>
      </w:r>
      <w:r w:rsidRPr="007179B2">
        <w:rPr>
          <w:bCs/>
        </w:rPr>
        <w:t xml:space="preserve"> </w:t>
      </w:r>
      <w:r w:rsidR="00135353">
        <w:rPr>
          <w:bCs/>
        </w:rPr>
        <w:t>в</w:t>
      </w:r>
      <w:r w:rsidR="00135353" w:rsidRPr="007179B2">
        <w:rPr>
          <w:bCs/>
        </w:rPr>
        <w:t xml:space="preserve"> </w:t>
      </w:r>
      <w:r w:rsidRPr="007179B2">
        <w:rPr>
          <w:bCs/>
        </w:rPr>
        <w:t xml:space="preserve">касах банку операції з купівлі банківських металів </w:t>
      </w:r>
      <w:r w:rsidR="00135353">
        <w:rPr>
          <w:bCs/>
        </w:rPr>
        <w:t>і</w:t>
      </w:r>
      <w:r w:rsidRPr="007179B2">
        <w:rPr>
          <w:bCs/>
        </w:rPr>
        <w:t>з фізич</w:t>
      </w:r>
      <w:r w:rsidR="00075CC7" w:rsidRPr="007179B2">
        <w:rPr>
          <w:bCs/>
        </w:rPr>
        <w:t>ною поставкою у фізичних осіб,</w:t>
      </w:r>
      <w:r w:rsidRPr="007179B2">
        <w:rPr>
          <w:bCs/>
        </w:rPr>
        <w:t xml:space="preserve"> продажу банківських металів </w:t>
      </w:r>
      <w:r w:rsidR="00135353">
        <w:rPr>
          <w:bCs/>
        </w:rPr>
        <w:t>і</w:t>
      </w:r>
      <w:r w:rsidRPr="007179B2">
        <w:rPr>
          <w:bCs/>
        </w:rPr>
        <w:t>з фізичною поставкою фізичним особам</w:t>
      </w:r>
      <w:r w:rsidR="00075CC7" w:rsidRPr="007179B2">
        <w:rPr>
          <w:bCs/>
        </w:rPr>
        <w:t xml:space="preserve"> </w:t>
      </w:r>
      <w:r w:rsidR="00322472" w:rsidRPr="007179B2">
        <w:rPr>
          <w:bCs/>
        </w:rPr>
        <w:t xml:space="preserve">за готівкові або безготівкові кошти </w:t>
      </w:r>
      <w:r w:rsidR="00135353">
        <w:rPr>
          <w:bCs/>
        </w:rPr>
        <w:t>в</w:t>
      </w:r>
      <w:r w:rsidR="00135353" w:rsidRPr="007179B2">
        <w:rPr>
          <w:bCs/>
        </w:rPr>
        <w:t xml:space="preserve"> </w:t>
      </w:r>
      <w:r w:rsidR="00322472" w:rsidRPr="007179B2">
        <w:rPr>
          <w:bCs/>
        </w:rPr>
        <w:t xml:space="preserve">гривні </w:t>
      </w:r>
      <w:r w:rsidR="00075CC7" w:rsidRPr="007179B2">
        <w:rPr>
          <w:bCs/>
        </w:rPr>
        <w:t>та продажу юридичним особам банківських металів у вигляді монет</w:t>
      </w:r>
      <w:r w:rsidRPr="007179B2">
        <w:rPr>
          <w:bCs/>
        </w:rPr>
        <w:t xml:space="preserve"> за безготівкові кошти </w:t>
      </w:r>
      <w:r w:rsidR="00135353">
        <w:rPr>
          <w:bCs/>
        </w:rPr>
        <w:t>в</w:t>
      </w:r>
      <w:r w:rsidR="00135353" w:rsidRPr="007179B2">
        <w:rPr>
          <w:bCs/>
        </w:rPr>
        <w:t xml:space="preserve"> </w:t>
      </w:r>
      <w:r w:rsidRPr="007179B2">
        <w:rPr>
          <w:bCs/>
        </w:rPr>
        <w:t>гривні.ˮ;</w:t>
      </w:r>
    </w:p>
    <w:p w14:paraId="2A2F810F" w14:textId="172B674B" w:rsidR="00B4613D" w:rsidRDefault="00B4613D" w:rsidP="0037618F">
      <w:pPr>
        <w:ind w:firstLine="705"/>
        <w:outlineLvl w:val="2"/>
        <w:rPr>
          <w:shd w:val="clear" w:color="auto" w:fill="FFFFFF"/>
        </w:rPr>
      </w:pPr>
    </w:p>
    <w:p w14:paraId="0F30A8AC" w14:textId="65DD956D" w:rsidR="00B4613D" w:rsidRPr="00876715" w:rsidRDefault="00B40674" w:rsidP="00B4613D">
      <w:pPr>
        <w:tabs>
          <w:tab w:val="left" w:pos="0"/>
        </w:tabs>
        <w:ind w:firstLine="705"/>
      </w:pPr>
      <w:r>
        <w:rPr>
          <w:shd w:val="clear" w:color="auto" w:fill="FFFFFF"/>
          <w:lang w:val="ru-RU"/>
        </w:rPr>
        <w:t>5</w:t>
      </w:r>
      <w:r w:rsidR="00B4613D" w:rsidRPr="00876715">
        <w:rPr>
          <w:shd w:val="clear" w:color="auto" w:fill="FFFFFF"/>
        </w:rPr>
        <w:t xml:space="preserve">) </w:t>
      </w:r>
      <w:r w:rsidR="00B4613D" w:rsidRPr="00876715">
        <w:t>розділ після пункту 16</w:t>
      </w:r>
      <w:r w:rsidR="00F440E4" w:rsidRPr="00876715">
        <w:rPr>
          <w:vertAlign w:val="superscript"/>
        </w:rPr>
        <w:t>1</w:t>
      </w:r>
      <w:r w:rsidR="00B4613D" w:rsidRPr="00876715">
        <w:t xml:space="preserve"> доповнити новим пунктом 16</w:t>
      </w:r>
      <w:r w:rsidR="00F440E4" w:rsidRPr="00876715">
        <w:rPr>
          <w:vertAlign w:val="superscript"/>
        </w:rPr>
        <w:t>2</w:t>
      </w:r>
      <w:r w:rsidR="00B4613D" w:rsidRPr="00876715">
        <w:rPr>
          <w:vertAlign w:val="superscript"/>
        </w:rPr>
        <w:t xml:space="preserve"> </w:t>
      </w:r>
      <w:r w:rsidR="00B4613D" w:rsidRPr="00876715">
        <w:t>такого змісту:</w:t>
      </w:r>
    </w:p>
    <w:p w14:paraId="706A400E" w14:textId="5D838CCB" w:rsidR="00F440E4" w:rsidRPr="00876715" w:rsidRDefault="003D17CE" w:rsidP="00F440E4">
      <w:pPr>
        <w:shd w:val="clear" w:color="auto" w:fill="FFFFFF"/>
        <w:ind w:firstLine="709"/>
        <w:rPr>
          <w:bCs/>
        </w:rPr>
      </w:pPr>
      <w:r w:rsidRPr="00876715">
        <w:t>“</w:t>
      </w:r>
      <w:r w:rsidR="00F440E4" w:rsidRPr="00876715">
        <w:t>16</w:t>
      </w:r>
      <w:r w:rsidR="00F440E4" w:rsidRPr="00876715">
        <w:rPr>
          <w:vertAlign w:val="superscript"/>
        </w:rPr>
        <w:t>2</w:t>
      </w:r>
      <w:r w:rsidR="00F440E4" w:rsidRPr="00876715">
        <w:t>.</w:t>
      </w:r>
      <w:r w:rsidR="00F440E4" w:rsidRPr="00876715">
        <w:rPr>
          <w:vertAlign w:val="superscript"/>
        </w:rPr>
        <w:t xml:space="preserve"> </w:t>
      </w:r>
      <w:r w:rsidR="00F440E4" w:rsidRPr="00876715">
        <w:rPr>
          <w:bCs/>
        </w:rPr>
        <w:t>Банки, небанківські установи здійснюють операції з продажу готівки іноземної валюти фізичним особам за безготівкові кошти в гривні через платіжні пристрої з використанням електронного платіжного засобу фізичної особи, яка здійснює таку операцію, з</w:t>
      </w:r>
      <w:r w:rsidR="001346CC">
        <w:rPr>
          <w:bCs/>
        </w:rPr>
        <w:t xml:space="preserve"> дотриманням вимог підпунктів 1</w:t>
      </w:r>
      <w:r w:rsidR="00F440E4" w:rsidRPr="00876715">
        <w:rPr>
          <w:bCs/>
        </w:rPr>
        <w:t>–3 пункту 16</w:t>
      </w:r>
      <w:r w:rsidR="00F440E4" w:rsidRPr="00876715">
        <w:rPr>
          <w:bCs/>
          <w:vertAlign w:val="superscript"/>
        </w:rPr>
        <w:t>1</w:t>
      </w:r>
      <w:r w:rsidR="004E7993" w:rsidRPr="00876715">
        <w:rPr>
          <w:bCs/>
        </w:rPr>
        <w:t xml:space="preserve"> </w:t>
      </w:r>
      <w:r w:rsidR="00F440E4" w:rsidRPr="00876715">
        <w:rPr>
          <w:bCs/>
        </w:rPr>
        <w:t>розділу III цього Положення.</w:t>
      </w:r>
      <w:r w:rsidR="00F440E4" w:rsidRPr="00876715">
        <w:t>ˮ</w:t>
      </w:r>
      <w:r w:rsidR="00F440E4" w:rsidRPr="00876715">
        <w:rPr>
          <w:bCs/>
        </w:rPr>
        <w:t>;</w:t>
      </w:r>
    </w:p>
    <w:p w14:paraId="648AF599" w14:textId="77777777" w:rsidR="00F440E4" w:rsidRPr="00876715" w:rsidRDefault="00F440E4" w:rsidP="00F440E4">
      <w:pPr>
        <w:shd w:val="clear" w:color="auto" w:fill="FFFFFF"/>
        <w:ind w:firstLine="709"/>
        <w:rPr>
          <w:bCs/>
        </w:rPr>
      </w:pPr>
    </w:p>
    <w:p w14:paraId="1768A3DF" w14:textId="13B632AD" w:rsidR="003D17CE" w:rsidRPr="00876715" w:rsidRDefault="00B40674" w:rsidP="00F440E4">
      <w:pPr>
        <w:shd w:val="clear" w:color="auto" w:fill="FFFFFF"/>
        <w:ind w:firstLine="709"/>
        <w:rPr>
          <w:bCs/>
        </w:rPr>
      </w:pPr>
      <w:r>
        <w:rPr>
          <w:shd w:val="clear" w:color="auto" w:fill="FFFFFF"/>
          <w:lang w:val="ru-RU"/>
        </w:rPr>
        <w:t>6</w:t>
      </w:r>
      <w:r w:rsidR="00026DF2" w:rsidRPr="00876715">
        <w:rPr>
          <w:shd w:val="clear" w:color="auto" w:fill="FFFFFF"/>
        </w:rPr>
        <w:t>) </w:t>
      </w:r>
      <w:r w:rsidR="000A1363" w:rsidRPr="00514135">
        <w:t>пункт 1</w:t>
      </w:r>
      <w:r w:rsidR="000A1363">
        <w:t>8</w:t>
      </w:r>
      <w:r w:rsidR="000A1363" w:rsidRPr="00514135">
        <w:t xml:space="preserve"> після слів “</w:t>
      </w:r>
      <w:r w:rsidR="000A1363">
        <w:t>доповнювати квитанцію,</w:t>
      </w:r>
      <w:r w:rsidR="000A1363" w:rsidRPr="00F07EF2">
        <w:t>ˮ</w:t>
      </w:r>
      <w:r w:rsidR="000A1363" w:rsidRPr="0037618F">
        <w:t xml:space="preserve"> </w:t>
      </w:r>
      <w:r w:rsidR="000A1363" w:rsidRPr="0037618F">
        <w:rPr>
          <w:shd w:val="clear" w:color="auto" w:fill="FFFFFF"/>
        </w:rPr>
        <w:t>доповнити словами “</w:t>
      </w:r>
      <w:r w:rsidR="000A1363" w:rsidRPr="00876715">
        <w:rPr>
          <w:bCs/>
        </w:rPr>
        <w:t>квитанцію про продаж монет,</w:t>
      </w:r>
      <w:r w:rsidR="000A1363">
        <w:rPr>
          <w:shd w:val="clear" w:color="auto" w:fill="FFFFFF"/>
        </w:rPr>
        <w:t>ˮ</w:t>
      </w:r>
      <w:r w:rsidR="00026DF2" w:rsidRPr="00876715">
        <w:rPr>
          <w:bCs/>
        </w:rPr>
        <w:t>;</w:t>
      </w:r>
    </w:p>
    <w:p w14:paraId="4464A94E" w14:textId="01F1D075" w:rsidR="00026DF2" w:rsidRPr="00876715" w:rsidRDefault="00026DF2" w:rsidP="00026DF2">
      <w:pPr>
        <w:tabs>
          <w:tab w:val="left" w:pos="0"/>
        </w:tabs>
        <w:ind w:firstLine="705"/>
        <w:rPr>
          <w:bCs/>
        </w:rPr>
      </w:pPr>
    </w:p>
    <w:p w14:paraId="4624620E" w14:textId="64FCF3BD" w:rsidR="002F35BE" w:rsidRDefault="00B40674" w:rsidP="00912847">
      <w:pPr>
        <w:tabs>
          <w:tab w:val="left" w:pos="0"/>
        </w:tabs>
        <w:ind w:firstLine="705"/>
        <w:rPr>
          <w:bCs/>
        </w:rPr>
      </w:pPr>
      <w:r>
        <w:rPr>
          <w:bCs/>
          <w:lang w:val="ru-RU"/>
        </w:rPr>
        <w:t>7</w:t>
      </w:r>
      <w:r w:rsidR="002F35BE" w:rsidRPr="00876715">
        <w:rPr>
          <w:shd w:val="clear" w:color="auto" w:fill="FFFFFF"/>
        </w:rPr>
        <w:t xml:space="preserve">) у </w:t>
      </w:r>
      <w:r w:rsidR="009816DF">
        <w:rPr>
          <w:shd w:val="clear" w:color="auto" w:fill="FFFFFF"/>
        </w:rPr>
        <w:t xml:space="preserve">першому реченні </w:t>
      </w:r>
      <w:r w:rsidR="002F35BE" w:rsidRPr="00876715">
        <w:rPr>
          <w:shd w:val="clear" w:color="auto" w:fill="FFFFFF"/>
        </w:rPr>
        <w:t>пункт</w:t>
      </w:r>
      <w:r w:rsidR="009816DF">
        <w:rPr>
          <w:shd w:val="clear" w:color="auto" w:fill="FFFFFF"/>
        </w:rPr>
        <w:t>у</w:t>
      </w:r>
      <w:r w:rsidR="002F35BE" w:rsidRPr="00876715">
        <w:rPr>
          <w:shd w:val="clear" w:color="auto" w:fill="FFFFFF"/>
        </w:rPr>
        <w:t xml:space="preserve"> 19 слова</w:t>
      </w:r>
      <w:r w:rsidR="009816DF">
        <w:rPr>
          <w:shd w:val="clear" w:color="auto" w:fill="FFFFFF"/>
        </w:rPr>
        <w:t xml:space="preserve"> та літери</w:t>
      </w:r>
      <w:r w:rsidR="002F35BE" w:rsidRPr="00876715">
        <w:rPr>
          <w:shd w:val="clear" w:color="auto" w:fill="FFFFFF"/>
        </w:rPr>
        <w:t xml:space="preserve"> </w:t>
      </w:r>
      <w:r w:rsidR="002F35BE" w:rsidRPr="00876715">
        <w:rPr>
          <w:bCs/>
        </w:rPr>
        <w:t>“</w:t>
      </w:r>
      <w:r w:rsidR="00912847" w:rsidRPr="00876715">
        <w:rPr>
          <w:bCs/>
        </w:rPr>
        <w:t>квитанції/розрахунковому документі РРОˮ замінити словами</w:t>
      </w:r>
      <w:r w:rsidR="009816DF">
        <w:rPr>
          <w:bCs/>
        </w:rPr>
        <w:t xml:space="preserve"> та літерами</w:t>
      </w:r>
      <w:r w:rsidR="00912847" w:rsidRPr="00876715">
        <w:rPr>
          <w:bCs/>
        </w:rPr>
        <w:t xml:space="preserve"> “квитанції</w:t>
      </w:r>
      <w:r w:rsidR="000A1363">
        <w:rPr>
          <w:bCs/>
        </w:rPr>
        <w:t xml:space="preserve">, </w:t>
      </w:r>
      <w:r w:rsidR="00912847" w:rsidRPr="00876715">
        <w:rPr>
          <w:bCs/>
        </w:rPr>
        <w:t>квитанції про продаж монет</w:t>
      </w:r>
      <w:r w:rsidR="000A1363">
        <w:rPr>
          <w:bCs/>
        </w:rPr>
        <w:t xml:space="preserve">, </w:t>
      </w:r>
      <w:r w:rsidR="000A1363" w:rsidRPr="00876715">
        <w:rPr>
          <w:bCs/>
        </w:rPr>
        <w:t>розрахунковому документі РРО</w:t>
      </w:r>
      <w:r w:rsidR="00912847" w:rsidRPr="00876715">
        <w:rPr>
          <w:bCs/>
        </w:rPr>
        <w:t>ˮ;</w:t>
      </w:r>
    </w:p>
    <w:p w14:paraId="0C1A202F" w14:textId="77777777" w:rsidR="00912847" w:rsidRDefault="00912847" w:rsidP="00912847">
      <w:pPr>
        <w:tabs>
          <w:tab w:val="left" w:pos="0"/>
        </w:tabs>
        <w:ind w:firstLine="705"/>
        <w:rPr>
          <w:bCs/>
        </w:rPr>
      </w:pPr>
    </w:p>
    <w:p w14:paraId="230AAD12" w14:textId="5591BC63" w:rsidR="00310CBB" w:rsidRDefault="007342BF" w:rsidP="00310CBB">
      <w:pPr>
        <w:ind w:firstLine="705"/>
        <w:outlineLvl w:val="2"/>
      </w:pPr>
      <w:r>
        <w:rPr>
          <w:bCs/>
        </w:rPr>
        <w:t>8</w:t>
      </w:r>
      <w:r w:rsidR="00026DF2" w:rsidRPr="0037618F">
        <w:rPr>
          <w:shd w:val="clear" w:color="auto" w:fill="FFFFFF"/>
        </w:rPr>
        <w:t>) </w:t>
      </w:r>
      <w:r w:rsidR="00AD3334" w:rsidRPr="00394EC6">
        <w:rPr>
          <w:shd w:val="clear" w:color="auto" w:fill="FFFFFF"/>
        </w:rPr>
        <w:t>пун</w:t>
      </w:r>
      <w:r w:rsidR="00310CBB">
        <w:rPr>
          <w:shd w:val="clear" w:color="auto" w:fill="FFFFFF"/>
        </w:rPr>
        <w:t>кт</w:t>
      </w:r>
      <w:r w:rsidR="00AD3334" w:rsidRPr="00394EC6">
        <w:rPr>
          <w:shd w:val="clear" w:color="auto" w:fill="FFFFFF"/>
        </w:rPr>
        <w:t xml:space="preserve"> 2</w:t>
      </w:r>
      <w:r w:rsidR="000130D6" w:rsidRPr="00394EC6">
        <w:rPr>
          <w:shd w:val="clear" w:color="auto" w:fill="FFFFFF"/>
        </w:rPr>
        <w:t>0</w:t>
      </w:r>
      <w:r w:rsidR="00AD3334" w:rsidRPr="00394EC6">
        <w:rPr>
          <w:shd w:val="clear" w:color="auto" w:fill="FFFFFF"/>
        </w:rPr>
        <w:t xml:space="preserve"> </w:t>
      </w:r>
      <w:r w:rsidR="00310CBB">
        <w:t>викласти в такій редакції:</w:t>
      </w:r>
    </w:p>
    <w:p w14:paraId="25FC0E34" w14:textId="7EA2D64E" w:rsidR="00310CBB" w:rsidRPr="00310CBB" w:rsidRDefault="00310CBB" w:rsidP="00310CBB">
      <w:pPr>
        <w:ind w:firstLine="709"/>
        <w:outlineLvl w:val="2"/>
        <w:rPr>
          <w:bCs/>
        </w:rPr>
      </w:pPr>
      <w:r w:rsidRPr="00876715">
        <w:rPr>
          <w:bCs/>
        </w:rPr>
        <w:t>“</w:t>
      </w:r>
      <w:r w:rsidRPr="008058EB">
        <w:rPr>
          <w:shd w:val="clear" w:color="auto" w:fill="FFFFFF"/>
        </w:rPr>
        <w:t xml:space="preserve">20. Касир </w:t>
      </w:r>
      <w:r w:rsidRPr="00310CBB">
        <w:rPr>
          <w:bCs/>
        </w:rPr>
        <w:t>каси банку, небанківської установи, пункту обміну валюти надає квитанцію</w:t>
      </w:r>
      <w:r w:rsidR="00AF5AB5">
        <w:rPr>
          <w:bCs/>
        </w:rPr>
        <w:t xml:space="preserve">, </w:t>
      </w:r>
      <w:r w:rsidRPr="00310CBB">
        <w:rPr>
          <w:bCs/>
        </w:rPr>
        <w:t>квитанцію про продаж монет</w:t>
      </w:r>
      <w:r w:rsidR="00AF5AB5">
        <w:rPr>
          <w:bCs/>
        </w:rPr>
        <w:t xml:space="preserve">, </w:t>
      </w:r>
      <w:r w:rsidRPr="00310CBB">
        <w:rPr>
          <w:bCs/>
        </w:rPr>
        <w:t>розрахунковий документ РРО одночасно з прийняттям/видачею:</w:t>
      </w:r>
    </w:p>
    <w:p w14:paraId="180A3DF5" w14:textId="77777777" w:rsidR="003C2C93" w:rsidRDefault="003C2C93" w:rsidP="00310CBB">
      <w:pPr>
        <w:ind w:firstLine="709"/>
        <w:outlineLvl w:val="2"/>
        <w:rPr>
          <w:bCs/>
        </w:rPr>
      </w:pPr>
    </w:p>
    <w:p w14:paraId="51B9B58F" w14:textId="04F656E3" w:rsidR="00310CBB" w:rsidRPr="003C2C93" w:rsidRDefault="00310CBB" w:rsidP="00E72CD5">
      <w:pPr>
        <w:pStyle w:val="af3"/>
        <w:numPr>
          <w:ilvl w:val="0"/>
          <w:numId w:val="7"/>
        </w:numPr>
        <w:outlineLvl w:val="2"/>
        <w:rPr>
          <w:bCs/>
        </w:rPr>
      </w:pPr>
      <w:r w:rsidRPr="003C2C93">
        <w:rPr>
          <w:bCs/>
        </w:rPr>
        <w:t>фізичній особі коштів/банківських металів</w:t>
      </w:r>
      <w:r w:rsidR="003C2C93">
        <w:rPr>
          <w:bCs/>
        </w:rPr>
        <w:t>;</w:t>
      </w:r>
    </w:p>
    <w:p w14:paraId="6C584EF1" w14:textId="77777777" w:rsidR="003C2C93" w:rsidRDefault="003C2C93" w:rsidP="00310CBB">
      <w:pPr>
        <w:ind w:firstLine="709"/>
        <w:outlineLvl w:val="2"/>
        <w:rPr>
          <w:bCs/>
        </w:rPr>
      </w:pPr>
    </w:p>
    <w:p w14:paraId="5C771287" w14:textId="7054804F" w:rsidR="00310CBB" w:rsidRPr="003C2C93" w:rsidRDefault="00310CBB" w:rsidP="00E72CD5">
      <w:pPr>
        <w:pStyle w:val="af3"/>
        <w:numPr>
          <w:ilvl w:val="0"/>
          <w:numId w:val="7"/>
        </w:numPr>
        <w:outlineLvl w:val="2"/>
        <w:rPr>
          <w:bCs/>
        </w:rPr>
      </w:pPr>
      <w:r w:rsidRPr="003C2C93">
        <w:rPr>
          <w:bCs/>
        </w:rPr>
        <w:t>юридичній особі банківських металів у вигляді монет.</w:t>
      </w:r>
    </w:p>
    <w:p w14:paraId="0ED423A0" w14:textId="470B9F56" w:rsidR="003D17CE" w:rsidRPr="00310CBB" w:rsidRDefault="00310CBB" w:rsidP="00310CBB">
      <w:pPr>
        <w:tabs>
          <w:tab w:val="left" w:pos="0"/>
        </w:tabs>
        <w:ind w:firstLine="705"/>
        <w:rPr>
          <w:bCs/>
        </w:rPr>
      </w:pPr>
      <w:r w:rsidRPr="00310CBB">
        <w:rPr>
          <w:bCs/>
        </w:rPr>
        <w:t>Квитанція</w:t>
      </w:r>
      <w:r w:rsidR="00AF5AB5">
        <w:rPr>
          <w:bCs/>
        </w:rPr>
        <w:t xml:space="preserve">, </w:t>
      </w:r>
      <w:r w:rsidRPr="00310CBB">
        <w:rPr>
          <w:bCs/>
        </w:rPr>
        <w:t>квитанція про продаж монет</w:t>
      </w:r>
      <w:r w:rsidR="00AF5AB5">
        <w:rPr>
          <w:bCs/>
        </w:rPr>
        <w:t xml:space="preserve">, </w:t>
      </w:r>
      <w:r w:rsidRPr="00310CBB">
        <w:rPr>
          <w:bCs/>
        </w:rPr>
        <w:t xml:space="preserve">розрахунковий документ РРО </w:t>
      </w:r>
      <w:r w:rsidR="00135353" w:rsidRPr="00310CBB">
        <w:rPr>
          <w:bCs/>
        </w:rPr>
        <w:t>нада</w:t>
      </w:r>
      <w:r w:rsidR="00135353">
        <w:rPr>
          <w:bCs/>
        </w:rPr>
        <w:t>ю</w:t>
      </w:r>
      <w:r w:rsidR="00135353" w:rsidRPr="00310CBB">
        <w:rPr>
          <w:bCs/>
        </w:rPr>
        <w:t xml:space="preserve">ться </w:t>
      </w:r>
      <w:r w:rsidRPr="00310CBB">
        <w:rPr>
          <w:bCs/>
        </w:rPr>
        <w:t>не пізніше завершення операції.</w:t>
      </w:r>
      <w:r w:rsidR="000130D6" w:rsidRPr="000130D6">
        <w:rPr>
          <w:bCs/>
        </w:rPr>
        <w:t>ˮ;</w:t>
      </w:r>
    </w:p>
    <w:p w14:paraId="7CB229CC" w14:textId="6F9DB8B2" w:rsidR="00DD5BFA" w:rsidRDefault="00DD5BFA" w:rsidP="00BD79DE">
      <w:pPr>
        <w:tabs>
          <w:tab w:val="left" w:pos="0"/>
        </w:tabs>
        <w:ind w:firstLine="705"/>
        <w:rPr>
          <w:bCs/>
        </w:rPr>
      </w:pPr>
    </w:p>
    <w:p w14:paraId="10C37CED" w14:textId="5CA3858E" w:rsidR="00DD5BFA" w:rsidRDefault="007342BF" w:rsidP="00BD79DE">
      <w:pPr>
        <w:tabs>
          <w:tab w:val="left" w:pos="0"/>
        </w:tabs>
        <w:ind w:firstLine="705"/>
        <w:rPr>
          <w:shd w:val="clear" w:color="auto" w:fill="FFFFFF"/>
        </w:rPr>
      </w:pPr>
      <w:r>
        <w:rPr>
          <w:bCs/>
        </w:rPr>
        <w:t>9</w:t>
      </w:r>
      <w:r w:rsidR="00DD5BFA" w:rsidRPr="00394EC6">
        <w:rPr>
          <w:shd w:val="clear" w:color="auto" w:fill="FFFFFF"/>
        </w:rPr>
        <w:t>)</w:t>
      </w:r>
      <w:r w:rsidR="00DD5BFA">
        <w:rPr>
          <w:shd w:val="clear" w:color="auto" w:fill="FFFFFF"/>
        </w:rPr>
        <w:t xml:space="preserve"> у першому реченні пункту 21 цифру </w:t>
      </w:r>
      <w:r w:rsidR="00DD5BFA" w:rsidRPr="00026DF2">
        <w:rPr>
          <w:bCs/>
        </w:rPr>
        <w:t>“</w:t>
      </w:r>
      <w:r w:rsidR="00DD5BFA">
        <w:rPr>
          <w:shd w:val="clear" w:color="auto" w:fill="FFFFFF"/>
        </w:rPr>
        <w:t>2</w:t>
      </w:r>
      <w:r w:rsidR="00DD5BFA" w:rsidRPr="00394EC6">
        <w:rPr>
          <w:bCs/>
        </w:rPr>
        <w:t>ˮ</w:t>
      </w:r>
      <w:r w:rsidR="00DD5BFA">
        <w:rPr>
          <w:shd w:val="clear" w:color="auto" w:fill="FFFFFF"/>
        </w:rPr>
        <w:t xml:space="preserve"> замінити цифрою </w:t>
      </w:r>
      <w:r w:rsidR="00DD5BFA" w:rsidRPr="00026DF2">
        <w:rPr>
          <w:bCs/>
        </w:rPr>
        <w:t>“</w:t>
      </w:r>
      <w:r w:rsidR="00DD5BFA">
        <w:rPr>
          <w:shd w:val="clear" w:color="auto" w:fill="FFFFFF"/>
        </w:rPr>
        <w:t>3</w:t>
      </w:r>
      <w:r w:rsidR="00DD5BFA" w:rsidRPr="00394EC6">
        <w:rPr>
          <w:bCs/>
        </w:rPr>
        <w:t>ˮ</w:t>
      </w:r>
      <w:r w:rsidR="00DD5BFA">
        <w:rPr>
          <w:shd w:val="clear" w:color="auto" w:fill="FFFFFF"/>
        </w:rPr>
        <w:t>;</w:t>
      </w:r>
    </w:p>
    <w:p w14:paraId="4445526F" w14:textId="2E3CC802" w:rsidR="00DD5BFA" w:rsidRDefault="00DD5BFA" w:rsidP="00BD79DE">
      <w:pPr>
        <w:tabs>
          <w:tab w:val="left" w:pos="0"/>
        </w:tabs>
        <w:ind w:firstLine="705"/>
        <w:rPr>
          <w:shd w:val="clear" w:color="auto" w:fill="FFFFFF"/>
        </w:rPr>
      </w:pPr>
    </w:p>
    <w:p w14:paraId="04FD6F0D" w14:textId="164CA940" w:rsidR="00DD5BFA" w:rsidRDefault="000A1363" w:rsidP="00DD5BFA">
      <w:pPr>
        <w:tabs>
          <w:tab w:val="left" w:pos="0"/>
        </w:tabs>
        <w:ind w:firstLine="705"/>
        <w:rPr>
          <w:shd w:val="clear" w:color="auto" w:fill="FFFFFF"/>
        </w:rPr>
      </w:pPr>
      <w:r>
        <w:rPr>
          <w:shd w:val="clear" w:color="auto" w:fill="FFFFFF"/>
        </w:rPr>
        <w:t>1</w:t>
      </w:r>
      <w:r w:rsidR="007342BF">
        <w:rPr>
          <w:shd w:val="clear" w:color="auto" w:fill="FFFFFF"/>
        </w:rPr>
        <w:t>0</w:t>
      </w:r>
      <w:r w:rsidR="00DD5BFA" w:rsidRPr="00394EC6">
        <w:rPr>
          <w:shd w:val="clear" w:color="auto" w:fill="FFFFFF"/>
        </w:rPr>
        <w:t>)</w:t>
      </w:r>
      <w:r w:rsidR="00DD5BFA">
        <w:rPr>
          <w:shd w:val="clear" w:color="auto" w:fill="FFFFFF"/>
        </w:rPr>
        <w:t xml:space="preserve"> у першому реченні пункту 22 цифру </w:t>
      </w:r>
      <w:r w:rsidR="00DD5BFA" w:rsidRPr="00026DF2">
        <w:rPr>
          <w:bCs/>
        </w:rPr>
        <w:t>“</w:t>
      </w:r>
      <w:r w:rsidR="00DD5BFA">
        <w:rPr>
          <w:shd w:val="clear" w:color="auto" w:fill="FFFFFF"/>
        </w:rPr>
        <w:t>3</w:t>
      </w:r>
      <w:r w:rsidR="00DD5BFA" w:rsidRPr="00394EC6">
        <w:rPr>
          <w:bCs/>
        </w:rPr>
        <w:t>ˮ</w:t>
      </w:r>
      <w:r w:rsidR="00DD5BFA">
        <w:rPr>
          <w:shd w:val="clear" w:color="auto" w:fill="FFFFFF"/>
        </w:rPr>
        <w:t xml:space="preserve"> замінити цифрою </w:t>
      </w:r>
      <w:r w:rsidR="00DD5BFA" w:rsidRPr="00026DF2">
        <w:rPr>
          <w:bCs/>
        </w:rPr>
        <w:t>“</w:t>
      </w:r>
      <w:r w:rsidR="00DD5BFA">
        <w:rPr>
          <w:shd w:val="clear" w:color="auto" w:fill="FFFFFF"/>
        </w:rPr>
        <w:t>4</w:t>
      </w:r>
      <w:r w:rsidR="00DD5BFA" w:rsidRPr="00394EC6">
        <w:rPr>
          <w:bCs/>
        </w:rPr>
        <w:t>ˮ</w:t>
      </w:r>
      <w:r w:rsidR="00DD5BFA">
        <w:rPr>
          <w:shd w:val="clear" w:color="auto" w:fill="FFFFFF"/>
        </w:rPr>
        <w:t>.</w:t>
      </w:r>
    </w:p>
    <w:p w14:paraId="367D281E" w14:textId="77777777" w:rsidR="00AD3334" w:rsidRDefault="00AD3334" w:rsidP="00BD79DE">
      <w:pPr>
        <w:tabs>
          <w:tab w:val="left" w:pos="0"/>
        </w:tabs>
        <w:ind w:firstLine="705"/>
        <w:rPr>
          <w:shd w:val="clear" w:color="auto" w:fill="FFFFFF"/>
        </w:rPr>
      </w:pPr>
    </w:p>
    <w:p w14:paraId="26D7BFAE" w14:textId="1E643AE8" w:rsidR="00247BC8" w:rsidRDefault="00587DE3" w:rsidP="006D3165">
      <w:pPr>
        <w:ind w:firstLine="709"/>
        <w:rPr>
          <w:shd w:val="clear" w:color="auto" w:fill="FFFFFF"/>
        </w:rPr>
      </w:pPr>
      <w:r>
        <w:rPr>
          <w:shd w:val="clear" w:color="auto" w:fill="FFFFFF"/>
        </w:rPr>
        <w:t>3</w:t>
      </w:r>
      <w:r w:rsidR="00AD3334">
        <w:rPr>
          <w:shd w:val="clear" w:color="auto" w:fill="FFFFFF"/>
        </w:rPr>
        <w:t xml:space="preserve">. </w:t>
      </w:r>
      <w:r w:rsidR="00247BC8">
        <w:rPr>
          <w:shd w:val="clear" w:color="auto" w:fill="FFFFFF"/>
        </w:rPr>
        <w:t>У додатках до Положення:</w:t>
      </w:r>
    </w:p>
    <w:p w14:paraId="5644294A" w14:textId="0877983E" w:rsidR="00743840" w:rsidRPr="007179B2" w:rsidRDefault="00247BC8" w:rsidP="00AD3334">
      <w:pPr>
        <w:ind w:firstLine="709"/>
      </w:pPr>
      <w:r>
        <w:rPr>
          <w:shd w:val="clear" w:color="auto" w:fill="FFFFFF"/>
        </w:rPr>
        <w:t xml:space="preserve">1) </w:t>
      </w:r>
      <w:r w:rsidR="00743840">
        <w:rPr>
          <w:shd w:val="clear" w:color="auto" w:fill="FFFFFF"/>
        </w:rPr>
        <w:t xml:space="preserve">у </w:t>
      </w:r>
      <w:r w:rsidR="006D3165">
        <w:rPr>
          <w:shd w:val="clear" w:color="auto" w:fill="FFFFFF"/>
        </w:rPr>
        <w:t>п</w:t>
      </w:r>
      <w:r w:rsidR="00AD3334">
        <w:rPr>
          <w:shd w:val="clear" w:color="auto" w:fill="FFFFFF"/>
        </w:rPr>
        <w:t>ункт</w:t>
      </w:r>
      <w:r w:rsidR="00743840">
        <w:rPr>
          <w:shd w:val="clear" w:color="auto" w:fill="FFFFFF"/>
        </w:rPr>
        <w:t>і</w:t>
      </w:r>
      <w:r w:rsidR="00AD3334">
        <w:rPr>
          <w:shd w:val="clear" w:color="auto" w:fill="FFFFFF"/>
        </w:rPr>
        <w:t xml:space="preserve"> 2 </w:t>
      </w:r>
      <w:r w:rsidR="00AD3334">
        <w:t>п</w:t>
      </w:r>
      <w:r w:rsidR="00AD3334" w:rsidRPr="00790389">
        <w:t>ояснення щодо заповнення квитанції про здійс</w:t>
      </w:r>
      <w:r w:rsidR="000130D6">
        <w:t>нення валютно-обмінної операції/</w:t>
      </w:r>
      <w:r w:rsidR="00AD3334" w:rsidRPr="00790389">
        <w:t>торгівлі банківськими металами з фізичною поставкою</w:t>
      </w:r>
      <w:r w:rsidR="00AD3334">
        <w:t xml:space="preserve"> </w:t>
      </w:r>
      <w:r w:rsidR="00135353" w:rsidRPr="007179B2">
        <w:t>додатк</w:t>
      </w:r>
      <w:r w:rsidR="00135353">
        <w:t>а</w:t>
      </w:r>
      <w:r w:rsidR="00135353" w:rsidRPr="007179B2">
        <w:t xml:space="preserve"> </w:t>
      </w:r>
      <w:r w:rsidR="00AD3334" w:rsidRPr="007179B2">
        <w:t>1</w:t>
      </w:r>
      <w:r w:rsidR="00743840" w:rsidRPr="007179B2">
        <w:t>:</w:t>
      </w:r>
    </w:p>
    <w:p w14:paraId="27F76DAF" w14:textId="144709B6" w:rsidR="00743840" w:rsidRPr="00743840" w:rsidRDefault="00743840" w:rsidP="00AD3334">
      <w:pPr>
        <w:ind w:firstLine="709"/>
        <w:rPr>
          <w:shd w:val="clear" w:color="auto" w:fill="FFFFFF"/>
        </w:rPr>
      </w:pPr>
      <w:r w:rsidRPr="007179B2">
        <w:rPr>
          <w:shd w:val="clear" w:color="auto" w:fill="FFFFFF"/>
        </w:rPr>
        <w:t>слова “суму, що підлягає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замінити словами “незначний розмір валютної операції”;</w:t>
      </w:r>
    </w:p>
    <w:p w14:paraId="031CDEE7" w14:textId="5320FB2B" w:rsidR="00AD3334" w:rsidRPr="00790389" w:rsidRDefault="00743840" w:rsidP="00AD3334">
      <w:pPr>
        <w:ind w:firstLine="709"/>
      </w:pPr>
      <w:r>
        <w:t xml:space="preserve">пункт </w:t>
      </w:r>
      <w:r w:rsidR="00AD3334">
        <w:t>доповнити новим абзацом такого змісту:</w:t>
      </w:r>
    </w:p>
    <w:p w14:paraId="032B60C1" w14:textId="73743B0F" w:rsidR="00AD3334" w:rsidRPr="000130D6" w:rsidRDefault="000130D6" w:rsidP="00AD3334">
      <w:pPr>
        <w:ind w:firstLine="705"/>
      </w:pPr>
      <w:r w:rsidRPr="000130D6">
        <w:t>“</w:t>
      </w:r>
      <w:r w:rsidR="00AD3334" w:rsidRPr="000130D6">
        <w:t xml:space="preserve">Реквізит “Додаткові реквізити” заповнюється під час здійснення операцій з купівлі/продажу </w:t>
      </w:r>
      <w:r w:rsidR="004E7993">
        <w:t>готівкової іноземної валюти/</w:t>
      </w:r>
      <w:r w:rsidR="00AD3334" w:rsidRPr="000130D6">
        <w:t xml:space="preserve">банківських металів за безготівкові кошти </w:t>
      </w:r>
      <w:r w:rsidR="00135353">
        <w:t>в</w:t>
      </w:r>
      <w:r w:rsidR="00135353" w:rsidRPr="000130D6">
        <w:t xml:space="preserve"> </w:t>
      </w:r>
      <w:r w:rsidR="00AD3334" w:rsidRPr="000130D6">
        <w:t xml:space="preserve">гривні. Зазначається “купівля </w:t>
      </w:r>
      <w:r w:rsidR="004E7993">
        <w:t>іноземної валюти/</w:t>
      </w:r>
      <w:r w:rsidR="00AD3334" w:rsidRPr="000130D6">
        <w:t xml:space="preserve">банківського металу за безготівкові кошти </w:t>
      </w:r>
      <w:r w:rsidR="00135353">
        <w:t>в</w:t>
      </w:r>
      <w:r w:rsidR="00135353" w:rsidRPr="000130D6">
        <w:t xml:space="preserve"> </w:t>
      </w:r>
      <w:r w:rsidR="00AD3334" w:rsidRPr="000130D6">
        <w:t xml:space="preserve">гривні”/“продаж </w:t>
      </w:r>
      <w:r w:rsidR="004E7993">
        <w:t>іноземної валюти/</w:t>
      </w:r>
      <w:r w:rsidR="00AD3334" w:rsidRPr="000130D6">
        <w:t xml:space="preserve">банківського металу за безготівкові кошти </w:t>
      </w:r>
      <w:r w:rsidR="00135353">
        <w:t>в</w:t>
      </w:r>
      <w:r w:rsidR="00135353" w:rsidRPr="000130D6">
        <w:t xml:space="preserve"> </w:t>
      </w:r>
      <w:r w:rsidR="00AD3334" w:rsidRPr="000130D6">
        <w:t>гривні”, а також інша інформація, потрібна для здійснення таких операцій (банк визначає самостійно).</w:t>
      </w:r>
      <w:r w:rsidRPr="000130D6">
        <w:t>”</w:t>
      </w:r>
      <w:r w:rsidR="00CA7473">
        <w:t>;</w:t>
      </w:r>
    </w:p>
    <w:p w14:paraId="7C5410F6" w14:textId="1700F5C5" w:rsidR="00AD3334" w:rsidRDefault="00AD3334" w:rsidP="00AD3334">
      <w:pPr>
        <w:ind w:firstLine="705"/>
        <w:rPr>
          <w:b/>
        </w:rPr>
      </w:pPr>
    </w:p>
    <w:p w14:paraId="1AE148BB" w14:textId="351DFF42" w:rsidR="00AD3334" w:rsidRPr="000130D6" w:rsidRDefault="00CA7473" w:rsidP="00AD3334">
      <w:pPr>
        <w:ind w:firstLine="705"/>
      </w:pPr>
      <w:r>
        <w:t>2)</w:t>
      </w:r>
      <w:r w:rsidR="00AD3334" w:rsidRPr="000130D6">
        <w:t xml:space="preserve"> </w:t>
      </w:r>
      <w:r w:rsidR="00394EC6" w:rsidRPr="000130D6">
        <w:t xml:space="preserve">Положення </w:t>
      </w:r>
      <w:r w:rsidR="00394EC6">
        <w:t>після додатка 1 д</w:t>
      </w:r>
      <w:r w:rsidR="00394EC6" w:rsidRPr="000130D6">
        <w:t xml:space="preserve">оповнити </w:t>
      </w:r>
      <w:r w:rsidR="00AD3334" w:rsidRPr="000130D6">
        <w:t>новим додатком 2 такого змісту:</w:t>
      </w:r>
    </w:p>
    <w:p w14:paraId="5D608B77" w14:textId="5D460B9C" w:rsidR="00AD3334" w:rsidRPr="000130D6" w:rsidRDefault="00AD3334" w:rsidP="000130D6">
      <w:pPr>
        <w:ind w:firstLine="5103"/>
      </w:pPr>
      <w:r w:rsidRPr="000130D6">
        <w:rPr>
          <w:bCs/>
        </w:rPr>
        <w:t>“</w:t>
      </w:r>
      <w:r w:rsidRPr="000130D6">
        <w:t>Додаток 2</w:t>
      </w:r>
    </w:p>
    <w:p w14:paraId="5BD32A8C" w14:textId="30110328" w:rsidR="00AD3334" w:rsidRPr="000130D6" w:rsidRDefault="00AD3334" w:rsidP="000130D6">
      <w:pPr>
        <w:ind w:firstLine="5103"/>
      </w:pPr>
      <w:r w:rsidRPr="000130D6">
        <w:t>до Положення про здійснення</w:t>
      </w:r>
    </w:p>
    <w:p w14:paraId="4F14204A" w14:textId="19DA83CE" w:rsidR="00AD3334" w:rsidRPr="000130D6" w:rsidRDefault="00AD3334" w:rsidP="000130D6">
      <w:pPr>
        <w:ind w:firstLine="5103"/>
      </w:pPr>
      <w:r w:rsidRPr="000130D6">
        <w:t>операцій із валютними цінностями</w:t>
      </w:r>
    </w:p>
    <w:p w14:paraId="52279225" w14:textId="03CF4FBF" w:rsidR="00AD3334" w:rsidRPr="000130D6" w:rsidRDefault="00AD3334" w:rsidP="000130D6">
      <w:pPr>
        <w:ind w:firstLine="5103"/>
      </w:pPr>
      <w:r w:rsidRPr="000130D6">
        <w:t>(пункт 13</w:t>
      </w:r>
      <w:r w:rsidRPr="000130D6">
        <w:rPr>
          <w:vertAlign w:val="superscript"/>
        </w:rPr>
        <w:t>1</w:t>
      </w:r>
      <w:r w:rsidRPr="000130D6">
        <w:t xml:space="preserve"> розділу ІІІ)</w:t>
      </w:r>
    </w:p>
    <w:p w14:paraId="52FE9F0D" w14:textId="77777777" w:rsidR="00AD3334" w:rsidRPr="000130D6" w:rsidRDefault="00AD3334" w:rsidP="00AD3334">
      <w:pPr>
        <w:rPr>
          <w:sz w:val="24"/>
          <w:szCs w:val="24"/>
        </w:rPr>
      </w:pPr>
      <w:r w:rsidRPr="000130D6">
        <w:t>_____________________________</w:t>
      </w:r>
    </w:p>
    <w:p w14:paraId="0D288B12" w14:textId="77777777" w:rsidR="00AD3334" w:rsidRPr="000130D6" w:rsidRDefault="00AD3334" w:rsidP="00AD3334">
      <w:pPr>
        <w:rPr>
          <w:sz w:val="24"/>
          <w:szCs w:val="24"/>
        </w:rPr>
      </w:pPr>
      <w:r w:rsidRPr="000130D6">
        <w:rPr>
          <w:sz w:val="24"/>
          <w:szCs w:val="24"/>
        </w:rPr>
        <w:t>(найменування та місцезнаходження</w:t>
      </w:r>
    </w:p>
    <w:p w14:paraId="676BE0BE" w14:textId="77777777" w:rsidR="00AD3334" w:rsidRPr="000130D6" w:rsidRDefault="00AD3334" w:rsidP="00AD3334">
      <w:pPr>
        <w:rPr>
          <w:sz w:val="24"/>
          <w:szCs w:val="24"/>
        </w:rPr>
      </w:pPr>
      <w:r w:rsidRPr="000130D6">
        <w:rPr>
          <w:sz w:val="24"/>
          <w:szCs w:val="24"/>
        </w:rPr>
        <w:t xml:space="preserve"> структурного підрозділу банку)</w:t>
      </w:r>
    </w:p>
    <w:p w14:paraId="22E98FCF" w14:textId="08E4E512" w:rsidR="00577396" w:rsidRDefault="00577396" w:rsidP="00AD3334"/>
    <w:p w14:paraId="703DFB1C" w14:textId="7729CC04" w:rsidR="00577396" w:rsidRPr="00577396" w:rsidRDefault="00577396" w:rsidP="00577396">
      <w:pPr>
        <w:jc w:val="center"/>
      </w:pPr>
      <w:r w:rsidRPr="001346CC">
        <w:t>К</w:t>
      </w:r>
      <w:r w:rsidR="005E3A06" w:rsidRPr="001346CC">
        <w:t>витанція</w:t>
      </w:r>
      <w:r w:rsidRPr="003C66D0">
        <w:t xml:space="preserve"> </w:t>
      </w:r>
      <w:r w:rsidRPr="00577396">
        <w:t xml:space="preserve">№ </w:t>
      </w:r>
    </w:p>
    <w:p w14:paraId="47C5E17D" w14:textId="13A0928A" w:rsidR="00014176" w:rsidRDefault="00577396" w:rsidP="00577396">
      <w:pPr>
        <w:jc w:val="center"/>
      </w:pPr>
      <w:r w:rsidRPr="00577396">
        <w:t xml:space="preserve">про здійснення операції </w:t>
      </w:r>
      <w:r w:rsidR="00135353">
        <w:t xml:space="preserve">з </w:t>
      </w:r>
      <w:r w:rsidRPr="00577396">
        <w:t>продажу банкі</w:t>
      </w:r>
      <w:r w:rsidR="00014176">
        <w:t xml:space="preserve">вських металів у вигляді монет </w:t>
      </w:r>
    </w:p>
    <w:p w14:paraId="14D74E1F" w14:textId="1CC21024" w:rsidR="00577396" w:rsidRPr="00577396" w:rsidRDefault="004770F4" w:rsidP="00577396">
      <w:pPr>
        <w:jc w:val="center"/>
      </w:pPr>
      <w:r>
        <w:t>і</w:t>
      </w:r>
      <w:r w:rsidR="00577396" w:rsidRPr="00577396">
        <w:t>з фізичною поставкою</w:t>
      </w:r>
    </w:p>
    <w:p w14:paraId="15EDBD40" w14:textId="3AC80158" w:rsidR="00AD3334" w:rsidRDefault="00AD3334" w:rsidP="00AD3334"/>
    <w:p w14:paraId="2E1CFB8D" w14:textId="084D8739" w:rsidR="00577396" w:rsidRDefault="00577396" w:rsidP="00AD3334">
      <w:r w:rsidRPr="000130D6">
        <w:t>Дата і час здійснення операції</w:t>
      </w:r>
      <w:r>
        <w:t xml:space="preserve"> _____________________</w:t>
      </w:r>
    </w:p>
    <w:p w14:paraId="5CF6E560" w14:textId="77777777" w:rsidR="00591EBE" w:rsidRDefault="00591EBE" w:rsidP="00AD3334"/>
    <w:p w14:paraId="5CE3E145" w14:textId="58047F38" w:rsidR="00577396" w:rsidRDefault="00577396" w:rsidP="00AD3334">
      <w:r w:rsidRPr="000130D6">
        <w:t>Клієнт</w:t>
      </w:r>
      <w:r>
        <w:t xml:space="preserve"> _________________________________________________________</w:t>
      </w:r>
      <w:r w:rsidR="007C58A5">
        <w:t>_</w:t>
      </w:r>
      <w:r>
        <w:t>____</w:t>
      </w:r>
    </w:p>
    <w:p w14:paraId="47866F64" w14:textId="4091B4F8" w:rsidR="00577396" w:rsidRPr="007179B2" w:rsidRDefault="00D2483E" w:rsidP="00BC5F0B">
      <w:pPr>
        <w:ind w:firstLine="709"/>
      </w:pPr>
      <w:r>
        <w:rPr>
          <w:sz w:val="24"/>
          <w:szCs w:val="24"/>
        </w:rPr>
        <w:t>[</w:t>
      </w:r>
      <w:r w:rsidR="00135353" w:rsidRPr="00135353">
        <w:rPr>
          <w:sz w:val="24"/>
          <w:szCs w:val="24"/>
        </w:rPr>
        <w:t>найменування</w:t>
      </w:r>
      <w:r w:rsidR="00577396" w:rsidRPr="000130D6">
        <w:rPr>
          <w:sz w:val="24"/>
          <w:szCs w:val="24"/>
        </w:rPr>
        <w:t xml:space="preserve"> </w:t>
      </w:r>
      <w:r w:rsidR="00577396" w:rsidRPr="007179B2">
        <w:rPr>
          <w:sz w:val="24"/>
          <w:szCs w:val="24"/>
        </w:rPr>
        <w:t xml:space="preserve">юридичної особи, </w:t>
      </w:r>
      <w:r w:rsidR="002C706C" w:rsidRPr="007179B2">
        <w:rPr>
          <w:sz w:val="24"/>
          <w:szCs w:val="24"/>
        </w:rPr>
        <w:t xml:space="preserve">ідентифікаційний </w:t>
      </w:r>
      <w:r w:rsidR="00577396" w:rsidRPr="007179B2">
        <w:rPr>
          <w:sz w:val="24"/>
          <w:szCs w:val="24"/>
        </w:rPr>
        <w:t xml:space="preserve">код </w:t>
      </w:r>
      <w:r w:rsidR="00206EC0" w:rsidRPr="007179B2">
        <w:rPr>
          <w:sz w:val="24"/>
          <w:szCs w:val="24"/>
        </w:rPr>
        <w:t xml:space="preserve">в </w:t>
      </w:r>
      <w:r w:rsidR="00577396" w:rsidRPr="007179B2">
        <w:rPr>
          <w:sz w:val="24"/>
          <w:szCs w:val="24"/>
        </w:rPr>
        <w:t>Є</w:t>
      </w:r>
      <w:r w:rsidR="007C58A5" w:rsidRPr="007179B2">
        <w:rPr>
          <w:sz w:val="24"/>
          <w:szCs w:val="24"/>
        </w:rPr>
        <w:t xml:space="preserve">диному державному реєстрі юридичних осіб, фізичних осіб-підприємців та громадських формувань </w:t>
      </w:r>
      <w:r w:rsidRPr="007179B2">
        <w:rPr>
          <w:sz w:val="24"/>
          <w:szCs w:val="24"/>
        </w:rPr>
        <w:t xml:space="preserve">(далі – </w:t>
      </w:r>
      <w:r w:rsidR="002C706C" w:rsidRPr="007179B2">
        <w:rPr>
          <w:sz w:val="24"/>
          <w:szCs w:val="24"/>
        </w:rPr>
        <w:t xml:space="preserve">код </w:t>
      </w:r>
      <w:r w:rsidR="00135353">
        <w:rPr>
          <w:sz w:val="24"/>
          <w:szCs w:val="24"/>
        </w:rPr>
        <w:t xml:space="preserve">за </w:t>
      </w:r>
      <w:r w:rsidRPr="007179B2">
        <w:rPr>
          <w:sz w:val="24"/>
          <w:szCs w:val="24"/>
        </w:rPr>
        <w:t>Є</w:t>
      </w:r>
      <w:r w:rsidR="00577396" w:rsidRPr="007179B2">
        <w:rPr>
          <w:sz w:val="24"/>
          <w:szCs w:val="24"/>
        </w:rPr>
        <w:t>ДРПОУ</w:t>
      </w:r>
      <w:r w:rsidRPr="007179B2">
        <w:rPr>
          <w:sz w:val="24"/>
          <w:szCs w:val="24"/>
        </w:rPr>
        <w:t>)]</w:t>
      </w:r>
    </w:p>
    <w:p w14:paraId="11A1D924" w14:textId="57DC883D" w:rsidR="00711B38" w:rsidRPr="007179B2" w:rsidRDefault="00711B38" w:rsidP="00AD3334"/>
    <w:p w14:paraId="40A211AE" w14:textId="47CFD3C9" w:rsidR="00577396" w:rsidRPr="007179B2" w:rsidRDefault="00577396" w:rsidP="00577396">
      <w:r w:rsidRPr="007179B2">
        <w:t>Видано через _______________________________________________________</w:t>
      </w:r>
    </w:p>
    <w:p w14:paraId="4263774F" w14:textId="3A33BCFE" w:rsidR="00577396" w:rsidRPr="007179B2" w:rsidRDefault="00CD0AAC" w:rsidP="00577396">
      <w:pPr>
        <w:ind w:firstLine="1985"/>
        <w:rPr>
          <w:sz w:val="24"/>
          <w:szCs w:val="24"/>
        </w:rPr>
      </w:pPr>
      <w:r w:rsidRPr="007179B2">
        <w:rPr>
          <w:sz w:val="24"/>
          <w:szCs w:val="24"/>
        </w:rPr>
        <w:t>[</w:t>
      </w:r>
      <w:r w:rsidR="00577396" w:rsidRPr="007179B2">
        <w:rPr>
          <w:sz w:val="24"/>
          <w:szCs w:val="24"/>
        </w:rPr>
        <w:t>прізвище, ім’я, по батькові (за наявності) уповноваженої особи,</w:t>
      </w:r>
    </w:p>
    <w:p w14:paraId="725BA458" w14:textId="1BA2EAB4" w:rsidR="00577396" w:rsidRPr="007179B2" w:rsidRDefault="00577396" w:rsidP="00577396">
      <w:pPr>
        <w:rPr>
          <w:sz w:val="24"/>
          <w:szCs w:val="24"/>
        </w:rPr>
      </w:pPr>
      <w:r w:rsidRPr="007179B2">
        <w:rPr>
          <w:sz w:val="24"/>
          <w:szCs w:val="24"/>
        </w:rPr>
        <w:t>______________________________________________________________________________</w:t>
      </w:r>
    </w:p>
    <w:p w14:paraId="41E72537" w14:textId="5E665FA4" w:rsidR="00577396" w:rsidRDefault="00577396" w:rsidP="002E7E6E">
      <w:pPr>
        <w:ind w:firstLine="426"/>
      </w:pPr>
      <w:r w:rsidRPr="007179B2">
        <w:rPr>
          <w:sz w:val="24"/>
          <w:szCs w:val="24"/>
        </w:rPr>
        <w:t>документ, що посвідчує особу, серія</w:t>
      </w:r>
      <w:r w:rsidR="007902E9" w:rsidRPr="007179B2">
        <w:rPr>
          <w:sz w:val="24"/>
          <w:szCs w:val="24"/>
        </w:rPr>
        <w:t xml:space="preserve"> (за наявності)</w:t>
      </w:r>
      <w:r w:rsidRPr="007179B2">
        <w:rPr>
          <w:sz w:val="24"/>
          <w:szCs w:val="24"/>
        </w:rPr>
        <w:t>, номер, ким виданий, дата видачі</w:t>
      </w:r>
      <w:r w:rsidR="00CD0AAC" w:rsidRPr="007179B2">
        <w:rPr>
          <w:sz w:val="24"/>
          <w:szCs w:val="24"/>
        </w:rPr>
        <w:t>]</w:t>
      </w:r>
    </w:p>
    <w:p w14:paraId="623D5B2F" w14:textId="59827C5B" w:rsidR="00711B38" w:rsidRDefault="00711B38" w:rsidP="00AD3334"/>
    <w:p w14:paraId="7DE9A5AB" w14:textId="2B58A8C0" w:rsidR="00322472" w:rsidRDefault="00322472" w:rsidP="00AD3334"/>
    <w:p w14:paraId="034E91DD" w14:textId="77777777" w:rsidR="00014176" w:rsidRDefault="00014176" w:rsidP="00AD3334"/>
    <w:p w14:paraId="6A257A6D" w14:textId="21011CF0" w:rsidR="00322472" w:rsidRDefault="00322472" w:rsidP="00322472">
      <w:pPr>
        <w:jc w:val="right"/>
      </w:pPr>
      <w:r>
        <w:t xml:space="preserve">Продовження </w:t>
      </w:r>
      <w:r w:rsidR="00135353">
        <w:t xml:space="preserve">додатка </w:t>
      </w:r>
      <w:r>
        <w:t>2</w:t>
      </w:r>
    </w:p>
    <w:p w14:paraId="273DDCF5" w14:textId="77777777" w:rsidR="00322472" w:rsidRDefault="00322472" w:rsidP="00AD3334"/>
    <w:tbl>
      <w:tblPr>
        <w:tblStyle w:val="a9"/>
        <w:tblW w:w="9634" w:type="dxa"/>
        <w:tblLook w:val="04A0" w:firstRow="1" w:lastRow="0" w:firstColumn="1" w:lastColumn="0" w:noHBand="0" w:noVBand="1"/>
      </w:tblPr>
      <w:tblGrid>
        <w:gridCol w:w="557"/>
        <w:gridCol w:w="1990"/>
        <w:gridCol w:w="1134"/>
        <w:gridCol w:w="1276"/>
        <w:gridCol w:w="1342"/>
        <w:gridCol w:w="1407"/>
        <w:gridCol w:w="865"/>
        <w:gridCol w:w="1063"/>
      </w:tblGrid>
      <w:tr w:rsidR="00591EBE" w14:paraId="2C9B4A34" w14:textId="77777777" w:rsidTr="00C27D3E">
        <w:tc>
          <w:tcPr>
            <w:tcW w:w="557" w:type="dxa"/>
            <w:vMerge w:val="restart"/>
          </w:tcPr>
          <w:p w14:paraId="3F879C27" w14:textId="77777777" w:rsidR="00591EBE" w:rsidRDefault="00591EBE" w:rsidP="00C27D3E">
            <w:pPr>
              <w:jc w:val="center"/>
            </w:pPr>
            <w:r>
              <w:t>№</w:t>
            </w:r>
          </w:p>
          <w:p w14:paraId="00763F4E" w14:textId="48E87D7E" w:rsidR="00591EBE" w:rsidRDefault="00591EBE" w:rsidP="00C27D3E">
            <w:pPr>
              <w:jc w:val="center"/>
            </w:pPr>
            <w:r>
              <w:t>з/п</w:t>
            </w:r>
          </w:p>
        </w:tc>
        <w:tc>
          <w:tcPr>
            <w:tcW w:w="1990" w:type="dxa"/>
            <w:vMerge w:val="restart"/>
          </w:tcPr>
          <w:p w14:paraId="53673FB1" w14:textId="0735A053" w:rsidR="00591EBE" w:rsidRDefault="00591EBE" w:rsidP="00C27D3E">
            <w:pPr>
              <w:jc w:val="center"/>
            </w:pPr>
            <w:r>
              <w:t>Назва монети</w:t>
            </w:r>
          </w:p>
        </w:tc>
        <w:tc>
          <w:tcPr>
            <w:tcW w:w="1134" w:type="dxa"/>
            <w:vMerge w:val="restart"/>
          </w:tcPr>
          <w:p w14:paraId="3B035786" w14:textId="147C5FDF" w:rsidR="00591EBE" w:rsidRDefault="00591EBE" w:rsidP="00C27D3E">
            <w:pPr>
              <w:jc w:val="center"/>
            </w:pPr>
            <w:r>
              <w:t>Код металу</w:t>
            </w:r>
          </w:p>
        </w:tc>
        <w:tc>
          <w:tcPr>
            <w:tcW w:w="1276" w:type="dxa"/>
            <w:vMerge w:val="restart"/>
          </w:tcPr>
          <w:p w14:paraId="0A41760A" w14:textId="56C8B36B" w:rsidR="00591EBE" w:rsidRDefault="00591EBE" w:rsidP="00C27D3E">
            <w:pPr>
              <w:jc w:val="center"/>
            </w:pPr>
            <w:r>
              <w:t>Номінал у валюті країни-емітента</w:t>
            </w:r>
          </w:p>
        </w:tc>
        <w:tc>
          <w:tcPr>
            <w:tcW w:w="1342" w:type="dxa"/>
            <w:vMerge w:val="restart"/>
          </w:tcPr>
          <w:p w14:paraId="0C5A269E" w14:textId="25B299B6" w:rsidR="00591EBE" w:rsidRDefault="00591EBE" w:rsidP="00C27D3E">
            <w:pPr>
              <w:jc w:val="center"/>
            </w:pPr>
            <w:r>
              <w:t>Ціна продажу, грн/од.</w:t>
            </w:r>
          </w:p>
        </w:tc>
        <w:tc>
          <w:tcPr>
            <w:tcW w:w="3335" w:type="dxa"/>
            <w:gridSpan w:val="3"/>
          </w:tcPr>
          <w:p w14:paraId="0DEF5B58" w14:textId="2A6DDA07" w:rsidR="00591EBE" w:rsidRDefault="00591EBE" w:rsidP="00C27D3E">
            <w:pPr>
              <w:jc w:val="center"/>
            </w:pPr>
            <w:r>
              <w:t>До видачі</w:t>
            </w:r>
          </w:p>
        </w:tc>
      </w:tr>
      <w:tr w:rsidR="00591EBE" w14:paraId="06D72CFF" w14:textId="77777777" w:rsidTr="00C27D3E">
        <w:tc>
          <w:tcPr>
            <w:tcW w:w="557" w:type="dxa"/>
            <w:vMerge/>
          </w:tcPr>
          <w:p w14:paraId="5C7A65D6" w14:textId="77777777" w:rsidR="00591EBE" w:rsidRDefault="00591EBE" w:rsidP="00AD3334"/>
        </w:tc>
        <w:tc>
          <w:tcPr>
            <w:tcW w:w="1990" w:type="dxa"/>
            <w:vMerge/>
          </w:tcPr>
          <w:p w14:paraId="5EA19E61" w14:textId="77777777" w:rsidR="00591EBE" w:rsidRDefault="00591EBE" w:rsidP="00AD3334"/>
        </w:tc>
        <w:tc>
          <w:tcPr>
            <w:tcW w:w="1134" w:type="dxa"/>
            <w:vMerge/>
          </w:tcPr>
          <w:p w14:paraId="7945CEB2" w14:textId="77777777" w:rsidR="00591EBE" w:rsidRDefault="00591EBE" w:rsidP="00AD3334"/>
        </w:tc>
        <w:tc>
          <w:tcPr>
            <w:tcW w:w="1276" w:type="dxa"/>
            <w:vMerge/>
          </w:tcPr>
          <w:p w14:paraId="06176C3E" w14:textId="77777777" w:rsidR="00591EBE" w:rsidRDefault="00591EBE" w:rsidP="00AD3334"/>
        </w:tc>
        <w:tc>
          <w:tcPr>
            <w:tcW w:w="1342" w:type="dxa"/>
            <w:vMerge/>
          </w:tcPr>
          <w:p w14:paraId="4BA03774" w14:textId="77777777" w:rsidR="00591EBE" w:rsidRDefault="00591EBE" w:rsidP="00AD3334"/>
        </w:tc>
        <w:tc>
          <w:tcPr>
            <w:tcW w:w="1407" w:type="dxa"/>
          </w:tcPr>
          <w:p w14:paraId="5C7C2811" w14:textId="030D1966" w:rsidR="00591EBE" w:rsidRDefault="00464DF4" w:rsidP="00AD3334">
            <w:r>
              <w:t>к</w:t>
            </w:r>
            <w:r w:rsidR="00591EBE">
              <w:t>ількість, од.</w:t>
            </w:r>
          </w:p>
        </w:tc>
        <w:tc>
          <w:tcPr>
            <w:tcW w:w="865" w:type="dxa"/>
          </w:tcPr>
          <w:p w14:paraId="221A0698" w14:textId="5755420A" w:rsidR="00591EBE" w:rsidRDefault="00464DF4" w:rsidP="00AD3334">
            <w:r>
              <w:t>м</w:t>
            </w:r>
            <w:r w:rsidR="00591EBE">
              <w:t>аса</w:t>
            </w:r>
          </w:p>
        </w:tc>
        <w:tc>
          <w:tcPr>
            <w:tcW w:w="1063" w:type="dxa"/>
          </w:tcPr>
          <w:p w14:paraId="5B7BB6B4" w14:textId="46BD8648" w:rsidR="00591EBE" w:rsidRDefault="00464DF4" w:rsidP="00AD3334">
            <w:r>
              <w:t>с</w:t>
            </w:r>
            <w:r w:rsidR="00591EBE">
              <w:t>ума, грн</w:t>
            </w:r>
          </w:p>
        </w:tc>
      </w:tr>
      <w:tr w:rsidR="00C27D3E" w14:paraId="43990C5A" w14:textId="77777777" w:rsidTr="00C27D3E">
        <w:tc>
          <w:tcPr>
            <w:tcW w:w="557" w:type="dxa"/>
          </w:tcPr>
          <w:p w14:paraId="07E5F806" w14:textId="44EBE1FA" w:rsidR="00C27D3E" w:rsidRDefault="00C27D3E" w:rsidP="00C27D3E">
            <w:pPr>
              <w:jc w:val="center"/>
            </w:pPr>
            <w:r>
              <w:t>1</w:t>
            </w:r>
          </w:p>
        </w:tc>
        <w:tc>
          <w:tcPr>
            <w:tcW w:w="1990" w:type="dxa"/>
          </w:tcPr>
          <w:p w14:paraId="1C68B94D" w14:textId="5F07FE7A" w:rsidR="00C27D3E" w:rsidRDefault="00C27D3E" w:rsidP="00C27D3E">
            <w:pPr>
              <w:jc w:val="center"/>
            </w:pPr>
            <w:r>
              <w:t>2</w:t>
            </w:r>
          </w:p>
        </w:tc>
        <w:tc>
          <w:tcPr>
            <w:tcW w:w="1134" w:type="dxa"/>
          </w:tcPr>
          <w:p w14:paraId="78997E82" w14:textId="6BB71D83" w:rsidR="00C27D3E" w:rsidRDefault="00C27D3E" w:rsidP="00C27D3E">
            <w:pPr>
              <w:jc w:val="center"/>
            </w:pPr>
            <w:r>
              <w:t>3</w:t>
            </w:r>
          </w:p>
        </w:tc>
        <w:tc>
          <w:tcPr>
            <w:tcW w:w="1276" w:type="dxa"/>
          </w:tcPr>
          <w:p w14:paraId="339742A1" w14:textId="31CDD291" w:rsidR="00C27D3E" w:rsidRDefault="00C27D3E" w:rsidP="00C27D3E">
            <w:pPr>
              <w:jc w:val="center"/>
            </w:pPr>
            <w:r>
              <w:t>4</w:t>
            </w:r>
          </w:p>
        </w:tc>
        <w:tc>
          <w:tcPr>
            <w:tcW w:w="1342" w:type="dxa"/>
          </w:tcPr>
          <w:p w14:paraId="4CE3E8A3" w14:textId="7EB09E31" w:rsidR="00C27D3E" w:rsidRDefault="00C27D3E" w:rsidP="00C27D3E">
            <w:pPr>
              <w:jc w:val="center"/>
            </w:pPr>
            <w:r>
              <w:t>5</w:t>
            </w:r>
          </w:p>
        </w:tc>
        <w:tc>
          <w:tcPr>
            <w:tcW w:w="1407" w:type="dxa"/>
          </w:tcPr>
          <w:p w14:paraId="5E60A05C" w14:textId="2B418F6E" w:rsidR="00C27D3E" w:rsidRDefault="00C27D3E" w:rsidP="00C27D3E">
            <w:pPr>
              <w:jc w:val="center"/>
            </w:pPr>
            <w:r>
              <w:t>6</w:t>
            </w:r>
          </w:p>
        </w:tc>
        <w:tc>
          <w:tcPr>
            <w:tcW w:w="865" w:type="dxa"/>
          </w:tcPr>
          <w:p w14:paraId="3BF4DFE2" w14:textId="4B171A20" w:rsidR="00C27D3E" w:rsidRDefault="00C27D3E" w:rsidP="00C27D3E">
            <w:pPr>
              <w:jc w:val="center"/>
            </w:pPr>
            <w:r>
              <w:t>7</w:t>
            </w:r>
          </w:p>
        </w:tc>
        <w:tc>
          <w:tcPr>
            <w:tcW w:w="1063" w:type="dxa"/>
          </w:tcPr>
          <w:p w14:paraId="3C3DC19C" w14:textId="1D38395E" w:rsidR="00C27D3E" w:rsidRDefault="00C27D3E" w:rsidP="00C27D3E">
            <w:pPr>
              <w:jc w:val="center"/>
            </w:pPr>
            <w:r>
              <w:t>8</w:t>
            </w:r>
          </w:p>
        </w:tc>
      </w:tr>
      <w:tr w:rsidR="00C27D3E" w14:paraId="7728A9D6" w14:textId="77777777" w:rsidTr="00C27D3E">
        <w:tc>
          <w:tcPr>
            <w:tcW w:w="557" w:type="dxa"/>
          </w:tcPr>
          <w:p w14:paraId="617BC44A" w14:textId="77777777" w:rsidR="00C27D3E" w:rsidRDefault="00C27D3E" w:rsidP="00AD3334"/>
        </w:tc>
        <w:tc>
          <w:tcPr>
            <w:tcW w:w="1990" w:type="dxa"/>
          </w:tcPr>
          <w:p w14:paraId="642644CA" w14:textId="77777777" w:rsidR="00C27D3E" w:rsidRDefault="00C27D3E" w:rsidP="00AD3334"/>
        </w:tc>
        <w:tc>
          <w:tcPr>
            <w:tcW w:w="1134" w:type="dxa"/>
          </w:tcPr>
          <w:p w14:paraId="2B29E787" w14:textId="77777777" w:rsidR="00C27D3E" w:rsidRDefault="00C27D3E" w:rsidP="00AD3334"/>
        </w:tc>
        <w:tc>
          <w:tcPr>
            <w:tcW w:w="1276" w:type="dxa"/>
          </w:tcPr>
          <w:p w14:paraId="01A40056" w14:textId="77777777" w:rsidR="00C27D3E" w:rsidRDefault="00C27D3E" w:rsidP="00AD3334"/>
        </w:tc>
        <w:tc>
          <w:tcPr>
            <w:tcW w:w="1342" w:type="dxa"/>
          </w:tcPr>
          <w:p w14:paraId="0BAD9200" w14:textId="77777777" w:rsidR="00C27D3E" w:rsidRDefault="00C27D3E" w:rsidP="00AD3334"/>
        </w:tc>
        <w:tc>
          <w:tcPr>
            <w:tcW w:w="1407" w:type="dxa"/>
          </w:tcPr>
          <w:p w14:paraId="1CC6CAAB" w14:textId="77777777" w:rsidR="00C27D3E" w:rsidRDefault="00C27D3E" w:rsidP="00AD3334"/>
        </w:tc>
        <w:tc>
          <w:tcPr>
            <w:tcW w:w="865" w:type="dxa"/>
          </w:tcPr>
          <w:p w14:paraId="1159B7BC" w14:textId="77777777" w:rsidR="00C27D3E" w:rsidRDefault="00C27D3E" w:rsidP="00AD3334"/>
        </w:tc>
        <w:tc>
          <w:tcPr>
            <w:tcW w:w="1063" w:type="dxa"/>
          </w:tcPr>
          <w:p w14:paraId="39EA6C92" w14:textId="77777777" w:rsidR="00C27D3E" w:rsidRDefault="00C27D3E" w:rsidP="00AD3334"/>
        </w:tc>
      </w:tr>
      <w:tr w:rsidR="00C27D3E" w14:paraId="3A25D97D" w14:textId="77777777" w:rsidTr="00C27D3E">
        <w:tc>
          <w:tcPr>
            <w:tcW w:w="557" w:type="dxa"/>
          </w:tcPr>
          <w:p w14:paraId="6E086D47" w14:textId="77777777" w:rsidR="00C27D3E" w:rsidRDefault="00C27D3E" w:rsidP="00AD3334"/>
        </w:tc>
        <w:tc>
          <w:tcPr>
            <w:tcW w:w="1990" w:type="dxa"/>
          </w:tcPr>
          <w:p w14:paraId="5455246B" w14:textId="77777777" w:rsidR="00C27D3E" w:rsidRDefault="00C27D3E" w:rsidP="00AD3334"/>
        </w:tc>
        <w:tc>
          <w:tcPr>
            <w:tcW w:w="1134" w:type="dxa"/>
          </w:tcPr>
          <w:p w14:paraId="6162FECD" w14:textId="77777777" w:rsidR="00C27D3E" w:rsidRDefault="00C27D3E" w:rsidP="00AD3334"/>
        </w:tc>
        <w:tc>
          <w:tcPr>
            <w:tcW w:w="1276" w:type="dxa"/>
          </w:tcPr>
          <w:p w14:paraId="2DD5E7D3" w14:textId="77777777" w:rsidR="00C27D3E" w:rsidRDefault="00C27D3E" w:rsidP="00AD3334"/>
        </w:tc>
        <w:tc>
          <w:tcPr>
            <w:tcW w:w="1342" w:type="dxa"/>
          </w:tcPr>
          <w:p w14:paraId="022B4BF8" w14:textId="77777777" w:rsidR="00C27D3E" w:rsidRDefault="00C27D3E" w:rsidP="00AD3334"/>
        </w:tc>
        <w:tc>
          <w:tcPr>
            <w:tcW w:w="1407" w:type="dxa"/>
          </w:tcPr>
          <w:p w14:paraId="520E130E" w14:textId="77777777" w:rsidR="00C27D3E" w:rsidRDefault="00C27D3E" w:rsidP="00AD3334"/>
        </w:tc>
        <w:tc>
          <w:tcPr>
            <w:tcW w:w="865" w:type="dxa"/>
          </w:tcPr>
          <w:p w14:paraId="00FDCF24" w14:textId="77777777" w:rsidR="00C27D3E" w:rsidRDefault="00C27D3E" w:rsidP="00AD3334"/>
        </w:tc>
        <w:tc>
          <w:tcPr>
            <w:tcW w:w="1063" w:type="dxa"/>
          </w:tcPr>
          <w:p w14:paraId="24005466" w14:textId="77777777" w:rsidR="00C27D3E" w:rsidRDefault="00C27D3E" w:rsidP="00AD3334"/>
        </w:tc>
      </w:tr>
      <w:tr w:rsidR="00C27D3E" w:rsidRPr="00C27D3E" w14:paraId="0C8DE591" w14:textId="77777777" w:rsidTr="00D6034C">
        <w:tc>
          <w:tcPr>
            <w:tcW w:w="9634" w:type="dxa"/>
            <w:gridSpan w:val="8"/>
          </w:tcPr>
          <w:p w14:paraId="0DF50A04" w14:textId="05A9D233" w:rsidR="00C27D3E" w:rsidRPr="00C27D3E" w:rsidRDefault="00C27D3E" w:rsidP="004E7993">
            <w:pPr>
              <w:ind w:hanging="112"/>
              <w:jc w:val="left"/>
            </w:pPr>
            <w:r w:rsidRPr="00C27D3E">
              <w:rPr>
                <w:lang w:val="ru-RU"/>
              </w:rPr>
              <w:t>О</w:t>
            </w:r>
            <w:r w:rsidRPr="00C27D3E">
              <w:t xml:space="preserve">плачено </w:t>
            </w:r>
            <w:r w:rsidRPr="00C27D3E">
              <w:rPr>
                <w:lang w:val="ru-RU"/>
              </w:rPr>
              <w:t>безготівковими коштами, грн</w:t>
            </w:r>
          </w:p>
        </w:tc>
      </w:tr>
    </w:tbl>
    <w:p w14:paraId="2006D55E" w14:textId="77777777" w:rsidR="00577396" w:rsidRDefault="00577396" w:rsidP="00AD3334"/>
    <w:p w14:paraId="6BE76088" w14:textId="67D9BB70" w:rsidR="00CF103A" w:rsidRPr="000130D6" w:rsidRDefault="00CF103A" w:rsidP="00CF103A">
      <w:r w:rsidRPr="000130D6">
        <w:t>Додаткові реквізити__________________________________________________</w:t>
      </w:r>
      <w:r>
        <w:t>_</w:t>
      </w:r>
    </w:p>
    <w:p w14:paraId="266F3133" w14:textId="1F6600FE" w:rsidR="00CF103A" w:rsidRPr="000130D6" w:rsidRDefault="00CF103A" w:rsidP="00CF103A">
      <w:pPr>
        <w:ind w:firstLine="3119"/>
        <w:rPr>
          <w:sz w:val="24"/>
          <w:szCs w:val="24"/>
        </w:rPr>
      </w:pPr>
      <w:r w:rsidRPr="000130D6">
        <w:rPr>
          <w:sz w:val="24"/>
          <w:szCs w:val="24"/>
        </w:rPr>
        <w:t xml:space="preserve">(реквізити, </w:t>
      </w:r>
      <w:r w:rsidR="00135353">
        <w:rPr>
          <w:sz w:val="24"/>
          <w:szCs w:val="24"/>
        </w:rPr>
        <w:t>потріб</w:t>
      </w:r>
      <w:r w:rsidR="00135353" w:rsidRPr="000130D6">
        <w:rPr>
          <w:sz w:val="24"/>
          <w:szCs w:val="24"/>
        </w:rPr>
        <w:t xml:space="preserve">ні </w:t>
      </w:r>
      <w:r w:rsidRPr="000130D6">
        <w:rPr>
          <w:sz w:val="24"/>
          <w:szCs w:val="24"/>
        </w:rPr>
        <w:t>для проведення операцій)</w:t>
      </w:r>
    </w:p>
    <w:p w14:paraId="4FC6A64D" w14:textId="77777777" w:rsidR="00CF103A" w:rsidRPr="000130D6" w:rsidRDefault="00CF103A" w:rsidP="00CF103A"/>
    <w:p w14:paraId="12E6C73F" w14:textId="77777777" w:rsidR="00CF103A" w:rsidRPr="000130D6" w:rsidRDefault="00CF103A" w:rsidP="00CF103A">
      <w:r w:rsidRPr="000130D6">
        <w:t xml:space="preserve">Підпис отримувача_________    </w:t>
      </w:r>
      <w:r>
        <w:t xml:space="preserve">                         </w:t>
      </w:r>
      <w:r w:rsidRPr="000130D6">
        <w:t xml:space="preserve">       _____________________</w:t>
      </w:r>
    </w:p>
    <w:p w14:paraId="3A76653F" w14:textId="77777777" w:rsidR="00CF103A" w:rsidRPr="000130D6" w:rsidRDefault="00CF103A" w:rsidP="00CF103A">
      <w:pPr>
        <w:ind w:firstLine="4536"/>
      </w:pPr>
      <w:r>
        <w:rPr>
          <w:sz w:val="24"/>
          <w:szCs w:val="24"/>
        </w:rPr>
        <w:t xml:space="preserve">                            </w:t>
      </w:r>
      <w:r w:rsidRPr="000130D6">
        <w:rPr>
          <w:sz w:val="24"/>
          <w:szCs w:val="24"/>
        </w:rPr>
        <w:t>(підпис працівника банку)</w:t>
      </w:r>
    </w:p>
    <w:p w14:paraId="6B1705EA" w14:textId="77777777" w:rsidR="00CF103A" w:rsidRPr="000130D6" w:rsidRDefault="00CF103A" w:rsidP="00CF103A"/>
    <w:p w14:paraId="6D4ACEA7" w14:textId="77777777" w:rsidR="00CF103A" w:rsidRPr="000130D6" w:rsidRDefault="00CF103A" w:rsidP="00CF103A">
      <w:pPr>
        <w:ind w:firstLine="4536"/>
      </w:pPr>
      <w:r w:rsidRPr="000130D6">
        <w:t>Місце для відбитка штампа</w:t>
      </w:r>
    </w:p>
    <w:p w14:paraId="10FB18D4" w14:textId="1CF077FF" w:rsidR="00CF103A" w:rsidRDefault="00CF103A" w:rsidP="00AD3334"/>
    <w:p w14:paraId="03187A26" w14:textId="77777777" w:rsidR="00CF103A" w:rsidRPr="000130D6" w:rsidRDefault="00CF103A" w:rsidP="00CF103A">
      <w:pPr>
        <w:jc w:val="center"/>
      </w:pPr>
      <w:r w:rsidRPr="000130D6">
        <w:t xml:space="preserve">Пояснення </w:t>
      </w:r>
    </w:p>
    <w:p w14:paraId="33CBA2C9" w14:textId="35E8FE5B" w:rsidR="00CF103A" w:rsidRPr="000130D6" w:rsidRDefault="00CF103A" w:rsidP="00CF103A">
      <w:pPr>
        <w:jc w:val="center"/>
      </w:pPr>
      <w:r w:rsidRPr="000130D6">
        <w:t xml:space="preserve">щодо заповнення квитанції про здійснення операції </w:t>
      </w:r>
      <w:r w:rsidR="00135353">
        <w:t xml:space="preserve">з </w:t>
      </w:r>
      <w:r w:rsidRPr="000130D6">
        <w:t>продажу банкі</w:t>
      </w:r>
      <w:r w:rsidR="00014176">
        <w:t xml:space="preserve">вських металів у вигляді монет </w:t>
      </w:r>
      <w:r w:rsidR="00135353">
        <w:t>і</w:t>
      </w:r>
      <w:r w:rsidRPr="000130D6">
        <w:t>з фізичною поставкою</w:t>
      </w:r>
    </w:p>
    <w:p w14:paraId="2630D076" w14:textId="77777777" w:rsidR="00CF103A" w:rsidRPr="000130D6" w:rsidRDefault="00CF103A" w:rsidP="00CF103A">
      <w:pPr>
        <w:jc w:val="center"/>
      </w:pPr>
    </w:p>
    <w:p w14:paraId="39BA17BC" w14:textId="7E881384" w:rsidR="00CF103A" w:rsidRPr="000130D6" w:rsidRDefault="00CF103A" w:rsidP="00CF103A">
      <w:pPr>
        <w:spacing w:before="240"/>
        <w:ind w:firstLine="709"/>
      </w:pPr>
      <w:r w:rsidRPr="000130D6">
        <w:t xml:space="preserve">1. Реквізити “Клієнт”, “Видано через” заповнюються незалежно від суми операції </w:t>
      </w:r>
      <w:r w:rsidR="00135353">
        <w:t xml:space="preserve">з </w:t>
      </w:r>
      <w:r w:rsidRPr="000130D6">
        <w:t>продажу банківських металів у вигляді монет</w:t>
      </w:r>
      <w:r w:rsidR="00014176">
        <w:t xml:space="preserve"> </w:t>
      </w:r>
      <w:r w:rsidR="00135353">
        <w:t>і</w:t>
      </w:r>
      <w:r w:rsidRPr="000130D6">
        <w:t>з фізичною поставкою.</w:t>
      </w:r>
    </w:p>
    <w:p w14:paraId="332D4B1C" w14:textId="7BAE7369" w:rsidR="00CF103A" w:rsidRPr="000130D6" w:rsidRDefault="00CF103A" w:rsidP="00CF103A">
      <w:pPr>
        <w:ind w:firstLine="709"/>
      </w:pPr>
      <w:r w:rsidRPr="000130D6">
        <w:t xml:space="preserve">У реквізиті “Клієнт” код </w:t>
      </w:r>
      <w:r w:rsidR="00135353">
        <w:t xml:space="preserve">за </w:t>
      </w:r>
      <w:r w:rsidRPr="000130D6">
        <w:t>ЄДРПОУ зазначається для юридичних осіб – резидентів України.</w:t>
      </w:r>
    </w:p>
    <w:p w14:paraId="6BA73368" w14:textId="77777777" w:rsidR="00CF103A" w:rsidRPr="000130D6" w:rsidRDefault="00CF103A" w:rsidP="00CF103A">
      <w:pPr>
        <w:ind w:firstLine="709"/>
        <w:rPr>
          <w:highlight w:val="yellow"/>
        </w:rPr>
      </w:pPr>
    </w:p>
    <w:p w14:paraId="086C0C81" w14:textId="470699EF" w:rsidR="00CF103A" w:rsidRPr="000130D6" w:rsidRDefault="00CF103A" w:rsidP="00CF103A">
      <w:pPr>
        <w:ind w:firstLine="709"/>
        <w:rPr>
          <w:bCs/>
        </w:rPr>
      </w:pPr>
      <w:r w:rsidRPr="000130D6">
        <w:t>2. </w:t>
      </w:r>
      <w:r w:rsidR="00135353">
        <w:t>У разі</w:t>
      </w:r>
      <w:r w:rsidR="00135353" w:rsidRPr="000130D6">
        <w:t xml:space="preserve"> заповненн</w:t>
      </w:r>
      <w:r w:rsidR="00135353">
        <w:t>я</w:t>
      </w:r>
      <w:r w:rsidR="00135353" w:rsidRPr="000130D6">
        <w:t xml:space="preserve"> </w:t>
      </w:r>
      <w:r w:rsidRPr="000130D6">
        <w:t xml:space="preserve">реквізиту “Маса” зазначається маса дорогоцінного металу </w:t>
      </w:r>
      <w:r w:rsidRPr="000130D6">
        <w:rPr>
          <w:bCs/>
        </w:rPr>
        <w:t>в тройських унціях із заокругленням із точністю до третьої цифри після коми включно.</w:t>
      </w:r>
    </w:p>
    <w:p w14:paraId="34285DBF" w14:textId="77777777" w:rsidR="00CF103A" w:rsidRPr="000130D6" w:rsidRDefault="00CF103A" w:rsidP="00CF103A">
      <w:pPr>
        <w:ind w:firstLine="709"/>
      </w:pPr>
    </w:p>
    <w:p w14:paraId="0BA13AA9" w14:textId="3223388B" w:rsidR="00CF103A" w:rsidRPr="00F95617" w:rsidRDefault="00CF103A" w:rsidP="00CF103A">
      <w:pPr>
        <w:ind w:firstLine="709"/>
      </w:pPr>
      <w:r w:rsidRPr="00F95617">
        <w:t>3. </w:t>
      </w:r>
      <w:r w:rsidR="00135353">
        <w:t>У разі</w:t>
      </w:r>
      <w:r w:rsidR="00135353" w:rsidRPr="00F95617">
        <w:t xml:space="preserve"> заповненн</w:t>
      </w:r>
      <w:r w:rsidR="00135353">
        <w:t>я</w:t>
      </w:r>
      <w:r w:rsidR="00135353" w:rsidRPr="00F95617">
        <w:t xml:space="preserve"> </w:t>
      </w:r>
      <w:r w:rsidRPr="00F95617">
        <w:t xml:space="preserve">реквізиту “Додаткові реквізити” зазначається інформація, потрібна для здійснення </w:t>
      </w:r>
      <w:r w:rsidR="00817443">
        <w:t xml:space="preserve">операції з продажу </w:t>
      </w:r>
      <w:r w:rsidR="00014176" w:rsidRPr="000130D6">
        <w:t>банківських металів у вигляді монет</w:t>
      </w:r>
      <w:r w:rsidR="00014176">
        <w:t xml:space="preserve"> </w:t>
      </w:r>
      <w:r w:rsidR="00135353">
        <w:t>і</w:t>
      </w:r>
      <w:r w:rsidR="00014176" w:rsidRPr="000130D6">
        <w:t>з фізичною поставкою</w:t>
      </w:r>
      <w:r w:rsidRPr="00F95617">
        <w:t xml:space="preserve"> (банк визначає самостійно).</w:t>
      </w:r>
    </w:p>
    <w:p w14:paraId="435429CE" w14:textId="77777777" w:rsidR="00CF103A" w:rsidRPr="00F95617" w:rsidRDefault="00CF103A" w:rsidP="00CF103A">
      <w:pPr>
        <w:ind w:firstLine="709"/>
      </w:pPr>
    </w:p>
    <w:p w14:paraId="62C84C6B" w14:textId="27973648" w:rsidR="004770F4" w:rsidRDefault="00CF103A" w:rsidP="00CF103A">
      <w:pPr>
        <w:ind w:firstLine="709"/>
      </w:pPr>
      <w:r w:rsidRPr="00F95617">
        <w:t xml:space="preserve">4. Реквізит “Підпис отримувача” для електронного документа має містити електронний підпис особи, яка уповноважена діяти від імені юридичної особи. Електронний підпис застосовується відповідно  до вимог Законів України “Про електронні документи та електронний документообіг”, </w:t>
      </w:r>
      <w:r w:rsidR="004770F4">
        <w:t xml:space="preserve"> </w:t>
      </w:r>
      <w:r w:rsidRPr="00F95617">
        <w:t xml:space="preserve">“Про електронні довірчі </w:t>
      </w:r>
    </w:p>
    <w:p w14:paraId="087353EF" w14:textId="77777777" w:rsidR="004770F4" w:rsidRDefault="004770F4" w:rsidP="00CF103A">
      <w:pPr>
        <w:ind w:firstLine="709"/>
      </w:pPr>
    </w:p>
    <w:p w14:paraId="0ECF58BC" w14:textId="77777777" w:rsidR="00B13E8D" w:rsidRDefault="00B13E8D" w:rsidP="00B13E8D">
      <w:pPr>
        <w:jc w:val="right"/>
      </w:pPr>
      <w:r>
        <w:t>Продовження додатка 2</w:t>
      </w:r>
    </w:p>
    <w:p w14:paraId="3B871004" w14:textId="77777777" w:rsidR="004770F4" w:rsidRDefault="004770F4" w:rsidP="00CF103A">
      <w:pPr>
        <w:ind w:firstLine="709"/>
      </w:pPr>
    </w:p>
    <w:p w14:paraId="0ED49776" w14:textId="6A5E3794" w:rsidR="00CF103A" w:rsidRPr="00F95617" w:rsidRDefault="00CF103A" w:rsidP="004770F4">
      <w:r w:rsidRPr="00F95617">
        <w:t xml:space="preserve">послуги” та нормативно-правового </w:t>
      </w:r>
      <w:r w:rsidR="00135353" w:rsidRPr="00F95617">
        <w:t>акт</w:t>
      </w:r>
      <w:r w:rsidR="00135353">
        <w:t>а</w:t>
      </w:r>
      <w:r w:rsidR="00135353" w:rsidRPr="00F95617">
        <w:t xml:space="preserve"> </w:t>
      </w:r>
      <w:r w:rsidRPr="007179B2">
        <w:t>Національного банку</w:t>
      </w:r>
      <w:r w:rsidRPr="00F95617">
        <w:t xml:space="preserve"> з питань застосування електронного підпису в банківській системі України.</w:t>
      </w:r>
    </w:p>
    <w:p w14:paraId="0CC33242" w14:textId="77777777" w:rsidR="00CF103A" w:rsidRPr="00F95617" w:rsidRDefault="00CF103A" w:rsidP="00CF103A">
      <w:pPr>
        <w:ind w:firstLine="709"/>
      </w:pPr>
    </w:p>
    <w:p w14:paraId="376BBDC8" w14:textId="77777777" w:rsidR="00CF103A" w:rsidRPr="00F95617" w:rsidRDefault="00CF103A" w:rsidP="00CF103A">
      <w:pPr>
        <w:ind w:firstLine="709"/>
      </w:pPr>
      <w:r w:rsidRPr="00F95617">
        <w:t>5. Реквізит “підпис працівника банку” для електронного документа має містити кваліфікований електронний підпис працівника банку.</w:t>
      </w:r>
    </w:p>
    <w:p w14:paraId="3B5C7726" w14:textId="77777777" w:rsidR="00CF103A" w:rsidRPr="00F95617" w:rsidRDefault="00CF103A" w:rsidP="00CF103A">
      <w:pPr>
        <w:ind w:firstLine="709"/>
      </w:pPr>
    </w:p>
    <w:p w14:paraId="6553D04F" w14:textId="21BBFF23" w:rsidR="00CF103A" w:rsidRDefault="00CF103A" w:rsidP="00CF103A">
      <w:pPr>
        <w:tabs>
          <w:tab w:val="left" w:pos="0"/>
        </w:tabs>
        <w:ind w:firstLine="709"/>
      </w:pPr>
      <w:r w:rsidRPr="00F95617">
        <w:t>6. Реквізит “Місце для відбитка штампа” не проставляється для другого примірника квитанції, оформленого банком у вигляді електронного документа.”</w:t>
      </w:r>
      <w:r>
        <w:t>.</w:t>
      </w:r>
    </w:p>
    <w:p w14:paraId="44379BDC" w14:textId="07FC4355" w:rsidR="00C27D3E" w:rsidRDefault="00C27D3E" w:rsidP="00C27D3E">
      <w:pPr>
        <w:ind w:firstLine="709"/>
        <w:rPr>
          <w:shd w:val="clear" w:color="auto" w:fill="FFFFFF"/>
        </w:rPr>
      </w:pPr>
      <w:r>
        <w:t xml:space="preserve">У зв’язку з цим </w:t>
      </w:r>
      <w:r w:rsidRPr="00394EC6">
        <w:t xml:space="preserve">додатки 2, 3 </w:t>
      </w:r>
      <w:r w:rsidRPr="00394EC6">
        <w:rPr>
          <w:shd w:val="clear" w:color="auto" w:fill="FFFFFF"/>
        </w:rPr>
        <w:t>уважати відповідно додатками 3, 4.</w:t>
      </w:r>
    </w:p>
    <w:p w14:paraId="50528E07" w14:textId="77777777" w:rsidR="00955A33" w:rsidRDefault="00955A33" w:rsidP="00C27D3E">
      <w:pPr>
        <w:ind w:firstLine="709"/>
        <w:sectPr w:rsidR="00955A33" w:rsidSect="00955A33">
          <w:pgSz w:w="11906" w:h="16838" w:code="9"/>
          <w:pgMar w:top="567" w:right="567" w:bottom="1701" w:left="1701" w:header="709" w:footer="709" w:gutter="0"/>
          <w:pgNumType w:start="1"/>
          <w:cols w:space="708"/>
          <w:titlePg/>
          <w:docGrid w:linePitch="381"/>
        </w:sectPr>
      </w:pPr>
    </w:p>
    <w:p w14:paraId="1106682A" w14:textId="77777777" w:rsidR="00955A33" w:rsidRPr="00F07EF2" w:rsidRDefault="00955A33" w:rsidP="00955A33">
      <w:pPr>
        <w:ind w:left="5529"/>
      </w:pPr>
      <w:r w:rsidRPr="00F07EF2">
        <w:t xml:space="preserve">ЗАТВЕРДЖЕНО </w:t>
      </w:r>
    </w:p>
    <w:p w14:paraId="3DD6C203" w14:textId="77777777" w:rsidR="00955A33" w:rsidRPr="00F07EF2" w:rsidRDefault="00955A33" w:rsidP="00955A33">
      <w:pPr>
        <w:ind w:left="5529"/>
      </w:pPr>
      <w:r w:rsidRPr="00F07EF2">
        <w:t>Постанова</w:t>
      </w:r>
      <w:r>
        <w:t> </w:t>
      </w:r>
      <w:r w:rsidRPr="00F07EF2">
        <w:t>Правління Національного банку України</w:t>
      </w:r>
    </w:p>
    <w:p w14:paraId="03D6D20C" w14:textId="073562AD" w:rsidR="00F01069" w:rsidRPr="00F01069" w:rsidRDefault="00F01069" w:rsidP="00F01069">
      <w:pPr>
        <w:ind w:left="5529"/>
      </w:pPr>
      <w:r w:rsidRPr="00F01069">
        <w:rPr>
          <w:lang w:val="en-US"/>
        </w:rPr>
        <w:t xml:space="preserve">29 </w:t>
      </w:r>
      <w:r w:rsidRPr="00F01069">
        <w:t>червня 2021 року № 6</w:t>
      </w:r>
      <w:r w:rsidR="00D43518">
        <w:t>2</w:t>
      </w:r>
    </w:p>
    <w:p w14:paraId="431F535F" w14:textId="77777777" w:rsidR="00955A33" w:rsidRPr="00341EEB" w:rsidRDefault="00955A33" w:rsidP="00955A33">
      <w:pPr>
        <w:ind w:firstLine="709"/>
        <w:rPr>
          <w:lang w:val="ru-RU"/>
        </w:rPr>
      </w:pPr>
    </w:p>
    <w:p w14:paraId="73AFD4FD" w14:textId="4BA0BBA5" w:rsidR="00955A33" w:rsidRDefault="00955A33" w:rsidP="00955A33">
      <w:pPr>
        <w:ind w:firstLine="709"/>
        <w:jc w:val="center"/>
      </w:pPr>
      <w:r w:rsidRPr="00F07EF2">
        <w:t>Зміни до Положення</w:t>
      </w:r>
      <w:r>
        <w:t xml:space="preserve"> </w:t>
      </w:r>
      <w:r w:rsidRPr="00D63305">
        <w:t>про заходи захисту та визначення порядку здійснення окремих операцій в іноземній валюті</w:t>
      </w:r>
    </w:p>
    <w:p w14:paraId="704B77D7" w14:textId="1A415736" w:rsidR="00BB7208" w:rsidRDefault="00BB7208" w:rsidP="00955A33">
      <w:pPr>
        <w:ind w:firstLine="709"/>
        <w:jc w:val="center"/>
      </w:pPr>
    </w:p>
    <w:p w14:paraId="57BB7FDE" w14:textId="4F2BD446" w:rsidR="00BB7208" w:rsidRDefault="00BB7208" w:rsidP="00955A33">
      <w:pPr>
        <w:ind w:firstLine="709"/>
        <w:jc w:val="center"/>
      </w:pPr>
    </w:p>
    <w:p w14:paraId="5F7B5233" w14:textId="6585E330" w:rsidR="00BB7208" w:rsidRDefault="00226FF5" w:rsidP="00226FF5">
      <w:pPr>
        <w:pStyle w:val="af3"/>
        <w:ind w:left="709"/>
      </w:pPr>
      <w:r>
        <w:t>1. </w:t>
      </w:r>
      <w:r w:rsidR="008C6477">
        <w:t>У розділі І:</w:t>
      </w:r>
    </w:p>
    <w:p w14:paraId="73F6985D" w14:textId="77777777" w:rsidR="008C6477" w:rsidRDefault="008C6477" w:rsidP="00AB332C">
      <w:pPr>
        <w:ind w:firstLine="709"/>
      </w:pPr>
    </w:p>
    <w:p w14:paraId="47EDC62C" w14:textId="13877C93" w:rsidR="00BB7208" w:rsidRDefault="00BB7208" w:rsidP="00AB332C">
      <w:pPr>
        <w:ind w:firstLine="709"/>
      </w:pPr>
      <w:r>
        <w:t>1) </w:t>
      </w:r>
      <w:r w:rsidR="00322472">
        <w:t>абзац перший</w:t>
      </w:r>
      <w:r>
        <w:t xml:space="preserve"> пункту 12 після слов</w:t>
      </w:r>
      <w:r w:rsidR="003C66D0">
        <w:t>а</w:t>
      </w:r>
      <w:r>
        <w:t xml:space="preserve"> “здійснення” доповнити словом “власної”;</w:t>
      </w:r>
    </w:p>
    <w:p w14:paraId="58086E2D" w14:textId="77777777" w:rsidR="00BB7208" w:rsidRDefault="00BB7208" w:rsidP="00AB332C">
      <w:pPr>
        <w:ind w:firstLine="709"/>
      </w:pPr>
    </w:p>
    <w:p w14:paraId="16B7F77B" w14:textId="3F6A381E" w:rsidR="001E6291" w:rsidRDefault="001E6291" w:rsidP="00AB332C">
      <w:pPr>
        <w:ind w:firstLine="709"/>
      </w:pPr>
      <w:r>
        <w:t>2</w:t>
      </w:r>
      <w:r w:rsidR="00BB7208" w:rsidRPr="00896D62">
        <w:t>)</w:t>
      </w:r>
      <w:r w:rsidR="00BB7208">
        <w:t xml:space="preserve"> перше речення пункту 17 </w:t>
      </w:r>
      <w:r w:rsidR="00BB7208" w:rsidRPr="00D63305">
        <w:t>після слів “з рахунків клієнтів банків,” доповнити словами “відкритих в іноземній валюті,”</w:t>
      </w:r>
      <w:r w:rsidR="00A92E07">
        <w:t>.</w:t>
      </w:r>
    </w:p>
    <w:p w14:paraId="66FFEA9C" w14:textId="20597E29" w:rsidR="001E6291" w:rsidRDefault="001E6291" w:rsidP="00AB332C">
      <w:pPr>
        <w:ind w:firstLine="709"/>
      </w:pPr>
    </w:p>
    <w:p w14:paraId="0A0DEB99" w14:textId="46D594AC" w:rsidR="001E6291" w:rsidRDefault="00AB332C" w:rsidP="00AB332C">
      <w:pPr>
        <w:ind w:firstLine="709"/>
      </w:pPr>
      <w:r>
        <w:t>2</w:t>
      </w:r>
      <w:r w:rsidR="001E6291">
        <w:t>. У розділі ІХ:</w:t>
      </w:r>
    </w:p>
    <w:p w14:paraId="5C855780" w14:textId="0A7FEF41" w:rsidR="001E6291" w:rsidRDefault="001E6291" w:rsidP="00AB332C">
      <w:pPr>
        <w:ind w:firstLine="709"/>
      </w:pPr>
    </w:p>
    <w:p w14:paraId="53140EE5" w14:textId="1209CF08" w:rsidR="001E6291" w:rsidRDefault="005C0A36" w:rsidP="00AB332C">
      <w:pPr>
        <w:ind w:firstLine="709"/>
        <w:rPr>
          <w:bCs/>
          <w:color w:val="000000"/>
        </w:rPr>
      </w:pPr>
      <w:r>
        <w:t>1) </w:t>
      </w:r>
      <w:r w:rsidR="001E6291">
        <w:t xml:space="preserve">розділ після пункту 88 доповнити новим пунктом </w:t>
      </w:r>
      <w:r w:rsidR="001E6291">
        <w:rPr>
          <w:rFonts w:eastAsiaTheme="minorEastAsia"/>
        </w:rPr>
        <w:t>88</w:t>
      </w:r>
      <w:r w:rsidR="001E6291" w:rsidRPr="009D0803">
        <w:rPr>
          <w:rFonts w:eastAsiaTheme="minorEastAsia"/>
          <w:vertAlign w:val="superscript"/>
        </w:rPr>
        <w:t xml:space="preserve">1 </w:t>
      </w:r>
      <w:r w:rsidR="001E6291" w:rsidRPr="009D0803">
        <w:rPr>
          <w:bCs/>
          <w:color w:val="000000"/>
        </w:rPr>
        <w:t>такого змісту:</w:t>
      </w:r>
    </w:p>
    <w:p w14:paraId="438C4304" w14:textId="0DBED0B3" w:rsidR="001E6291" w:rsidRDefault="001E6291" w:rsidP="0078079D">
      <w:pPr>
        <w:shd w:val="clear" w:color="auto" w:fill="FFFFFF"/>
        <w:ind w:firstLine="709"/>
      </w:pPr>
      <w:r>
        <w:t>“</w:t>
      </w:r>
      <w:r w:rsidR="0078079D" w:rsidRPr="0078079D">
        <w:t>88</w:t>
      </w:r>
      <w:r w:rsidR="0078079D" w:rsidRPr="0078079D">
        <w:rPr>
          <w:vertAlign w:val="superscript"/>
        </w:rPr>
        <w:t>1</w:t>
      </w:r>
      <w:r w:rsidR="00BC2AE1">
        <w:t>. Фізичній особі</w:t>
      </w:r>
      <w:r w:rsidR="00BC2AE1" w:rsidRPr="0078079D">
        <w:t>-</w:t>
      </w:r>
      <w:r w:rsidR="0078079D" w:rsidRPr="0078079D">
        <w:t xml:space="preserve">резиденту </w:t>
      </w:r>
      <w:r w:rsidR="00875EF9">
        <w:t xml:space="preserve">дозволяється </w:t>
      </w:r>
      <w:r w:rsidR="0078079D" w:rsidRPr="0078079D">
        <w:t xml:space="preserve">здійснювати інвестицію за кордон також за </w:t>
      </w:r>
      <w:r w:rsidR="00135353" w:rsidRPr="0078079D">
        <w:t>участ</w:t>
      </w:r>
      <w:r w:rsidR="00135353">
        <w:t>ю</w:t>
      </w:r>
      <w:r w:rsidR="00135353" w:rsidRPr="0078079D">
        <w:t xml:space="preserve"> </w:t>
      </w:r>
      <w:r w:rsidR="0078079D" w:rsidRPr="0078079D">
        <w:t xml:space="preserve">резидента-торговця цінними паперами, </w:t>
      </w:r>
      <w:r w:rsidR="00135353">
        <w:t>який</w:t>
      </w:r>
      <w:r w:rsidR="00135353" w:rsidRPr="0078079D">
        <w:t xml:space="preserve"> </w:t>
      </w:r>
      <w:r w:rsidR="0078079D" w:rsidRPr="0078079D">
        <w:t>діє від свого імені (від імені цієї фізичної особи) за дорученням і за рахунок цієї фізичної особи (далі</w:t>
      </w:r>
      <w:r w:rsidR="00875EF9">
        <w:t xml:space="preserve"> </w:t>
      </w:r>
      <w:r w:rsidR="00814D01">
        <w:t xml:space="preserve">в цьому розділі </w:t>
      </w:r>
      <w:r w:rsidR="0078079D" w:rsidRPr="0078079D">
        <w:t xml:space="preserve">– торговець цінними паперами), шляхом переказу коштів в іноземній валюті з власного поточного рахунку такої фізичної особи в банку на поточний рахунок торговця цінними паперами, відкритому в цьому </w:t>
      </w:r>
      <w:r w:rsidR="00135353">
        <w:t>самому</w:t>
      </w:r>
      <w:r w:rsidR="00135353" w:rsidRPr="0078079D">
        <w:t xml:space="preserve"> </w:t>
      </w:r>
      <w:r w:rsidR="0078079D" w:rsidRPr="0078079D">
        <w:t xml:space="preserve">банку (на рахунок обліку кредиторської заборгованості за розрахунками за цінними паперами для клієнтів торговця цінними паперами, який є банком), з подальшим переказом їх за призначенням </w:t>
      </w:r>
      <w:r w:rsidR="00135353">
        <w:t>і</w:t>
      </w:r>
      <w:r w:rsidR="0078079D" w:rsidRPr="0078079D">
        <w:t>з поточного (кореспондентського) рахунку торговця цінними паперами за кордон/на поточні рахунки нерезидентів</w:t>
      </w:r>
      <w:r w:rsidR="0099209C">
        <w:t> </w:t>
      </w:r>
      <w:r w:rsidR="0099209C" w:rsidRPr="0078079D">
        <w:t>–</w:t>
      </w:r>
      <w:r w:rsidR="0099209C">
        <w:t> </w:t>
      </w:r>
      <w:r w:rsidR="0078079D" w:rsidRPr="0078079D">
        <w:t xml:space="preserve">юридичних осіб, відкриті в Україні (крім інвестиційних рахунків), </w:t>
      </w:r>
      <w:r w:rsidR="00135353">
        <w:t>і</w:t>
      </w:r>
      <w:r w:rsidR="0078079D" w:rsidRPr="0078079D">
        <w:t>з дотриманням ліміту, передбаченого в абзаці першому пункту 88 розділу IX цього Положення.</w:t>
      </w:r>
      <w:r>
        <w:t>”</w:t>
      </w:r>
      <w:r w:rsidR="00A92E07">
        <w:t>;</w:t>
      </w:r>
    </w:p>
    <w:p w14:paraId="4EF11F7A" w14:textId="77777777" w:rsidR="005C0A36" w:rsidRDefault="005C0A36" w:rsidP="00AB332C">
      <w:pPr>
        <w:ind w:firstLine="709"/>
      </w:pPr>
    </w:p>
    <w:p w14:paraId="7447E472" w14:textId="5857BA47" w:rsidR="00A92E07" w:rsidRPr="00A92E07" w:rsidRDefault="005C0A36" w:rsidP="00AB332C">
      <w:pPr>
        <w:ind w:firstLine="709"/>
      </w:pPr>
      <w:r>
        <w:t>2) </w:t>
      </w:r>
      <w:r w:rsidR="00A92E07">
        <w:t>у пункті 90:</w:t>
      </w:r>
    </w:p>
    <w:p w14:paraId="12E59545" w14:textId="77777777" w:rsidR="00A92E07" w:rsidRPr="00B83557" w:rsidRDefault="00A92E07" w:rsidP="00A92E07">
      <w:pPr>
        <w:ind w:firstLine="709"/>
      </w:pPr>
      <w:r w:rsidRPr="00B83557">
        <w:t>підпункт 3 викласти в такій редакції:</w:t>
      </w:r>
    </w:p>
    <w:p w14:paraId="0C9C3CB4" w14:textId="21B96984" w:rsidR="00A92E07" w:rsidRPr="00B83557" w:rsidRDefault="00A92E07" w:rsidP="00A92E07">
      <w:pPr>
        <w:ind w:firstLine="709"/>
        <w:rPr>
          <w:rFonts w:eastAsiaTheme="minorEastAsia"/>
        </w:rPr>
      </w:pPr>
      <w:r w:rsidRPr="00B83557">
        <w:rPr>
          <w:rFonts w:eastAsiaTheme="minorEastAsia"/>
        </w:rPr>
        <w:t>“</w:t>
      </w:r>
      <w:r w:rsidR="0078079D" w:rsidRPr="0078079D">
        <w:t xml:space="preserve">3) операції, пов’язані з виконанням зобов’язань за гарантіями, поруками, заставою, а також операції з відшкодування резидентом-боржником коштів нерезиденту-гаранту (поручителю), який виконав забезпечене гарантією/порукою зобов’язання резидента-боржника перед нерезидентом-кредитором. Виключення, передбачене в підпункті 3 пункту 90 розділу IX цього Положення, </w:t>
      </w:r>
      <w:r w:rsidR="007D436C">
        <w:t>застосовуєть</w:t>
      </w:r>
      <w:r w:rsidR="0078079D" w:rsidRPr="0078079D">
        <w:t xml:space="preserve">ся за умови, </w:t>
      </w:r>
      <w:r w:rsidR="00135353">
        <w:t>як</w:t>
      </w:r>
      <w:r w:rsidR="0078079D" w:rsidRPr="0078079D">
        <w:t xml:space="preserve">що операції, пов’язані із виконанням основного зобов’язання за відповідним договором, забезпеченого гарантією, порукою, заставою, </w:t>
      </w:r>
      <w:r w:rsidR="00135353">
        <w:t>належать</w:t>
      </w:r>
      <w:r w:rsidR="00135353" w:rsidRPr="0078079D">
        <w:t xml:space="preserve"> </w:t>
      </w:r>
      <w:r w:rsidR="0078079D" w:rsidRPr="0078079D">
        <w:t>до переліку операцій, на які згідно з підпунктами 1, 2, 3</w:t>
      </w:r>
      <w:r w:rsidR="0078079D" w:rsidRPr="0078079D">
        <w:rPr>
          <w:vertAlign w:val="superscript"/>
        </w:rPr>
        <w:t>1</w:t>
      </w:r>
      <w:r w:rsidR="00464DF4">
        <w:t>, 4</w:t>
      </w:r>
      <w:r w:rsidR="0078079D" w:rsidRPr="0078079D">
        <w:t xml:space="preserve">–11 пункту 90 розділу IX цього Положення не поширюється ліміт, передбачений </w:t>
      </w:r>
      <w:r w:rsidR="00135353">
        <w:t>у</w:t>
      </w:r>
      <w:r w:rsidR="00135353" w:rsidRPr="0078079D">
        <w:t xml:space="preserve"> </w:t>
      </w:r>
      <w:r w:rsidR="0078079D" w:rsidRPr="0078079D">
        <w:t>пункті 89 розділу IX цього Положення;</w:t>
      </w:r>
      <w:r w:rsidRPr="00B83557">
        <w:rPr>
          <w:rFonts w:eastAsiaTheme="minorEastAsia"/>
        </w:rPr>
        <w:t>”;</w:t>
      </w:r>
    </w:p>
    <w:p w14:paraId="60D1878D" w14:textId="77777777" w:rsidR="00A92E07" w:rsidRPr="00B83557" w:rsidRDefault="00A92E07" w:rsidP="00A92E07">
      <w:pPr>
        <w:ind w:firstLine="709"/>
        <w:outlineLvl w:val="2"/>
        <w:rPr>
          <w:bCs/>
        </w:rPr>
      </w:pPr>
      <w:r w:rsidRPr="00B83557">
        <w:t xml:space="preserve">пункт після підпункту </w:t>
      </w:r>
      <w:r w:rsidRPr="00B83557">
        <w:rPr>
          <w:bCs/>
          <w:color w:val="000000"/>
        </w:rPr>
        <w:t>3</w:t>
      </w:r>
      <w:r w:rsidRPr="00B83557">
        <w:rPr>
          <w:bCs/>
          <w:color w:val="000000"/>
          <w:vertAlign w:val="superscript"/>
        </w:rPr>
        <w:t xml:space="preserve"> </w:t>
      </w:r>
      <w:r w:rsidRPr="00B83557">
        <w:rPr>
          <w:bCs/>
          <w:color w:val="000000"/>
        </w:rPr>
        <w:t>доповнити новим підпунктом 3</w:t>
      </w:r>
      <w:r w:rsidRPr="00B83557">
        <w:rPr>
          <w:bCs/>
          <w:color w:val="000000"/>
          <w:vertAlign w:val="superscript"/>
        </w:rPr>
        <w:t>1</w:t>
      </w:r>
      <w:r w:rsidRPr="00B83557">
        <w:rPr>
          <w:bCs/>
          <w:color w:val="000000"/>
        </w:rPr>
        <w:t xml:space="preserve"> такого змісту:</w:t>
      </w:r>
    </w:p>
    <w:p w14:paraId="7BE70466" w14:textId="1AF834D9" w:rsidR="00A92E07" w:rsidRDefault="00A92E07" w:rsidP="00A92E07">
      <w:pPr>
        <w:ind w:firstLine="709"/>
      </w:pPr>
      <w:r w:rsidRPr="00B83557">
        <w:rPr>
          <w:rFonts w:eastAsiaTheme="minorEastAsia"/>
        </w:rPr>
        <w:t>“</w:t>
      </w:r>
      <w:r w:rsidR="0078079D" w:rsidRPr="0078079D">
        <w:t>3</w:t>
      </w:r>
      <w:r w:rsidR="0078079D" w:rsidRPr="0078079D">
        <w:rPr>
          <w:vertAlign w:val="superscript"/>
        </w:rPr>
        <w:t>1</w:t>
      </w:r>
      <w:r w:rsidR="0078079D" w:rsidRPr="0078079D">
        <w:t>) операції з відшкодування резидентом-боржником коштів нерезиденту-гаранту (поручителю), який виконав забезпечене гарантією/порукою зобов’язання резидента-боржника перед резидентом-кредитором;</w:t>
      </w:r>
      <w:r w:rsidRPr="00B83557">
        <w:rPr>
          <w:rFonts w:eastAsiaTheme="minorEastAsia"/>
        </w:rPr>
        <w:t>”</w:t>
      </w:r>
      <w:r>
        <w:rPr>
          <w:rFonts w:eastAsiaTheme="minorEastAsia"/>
        </w:rPr>
        <w:t>;</w:t>
      </w:r>
    </w:p>
    <w:p w14:paraId="76F3CE1C" w14:textId="18F97ADD" w:rsidR="001E6291" w:rsidRPr="00602764" w:rsidRDefault="001E6291" w:rsidP="00AB332C">
      <w:pPr>
        <w:ind w:firstLine="709"/>
      </w:pPr>
      <w:r w:rsidRPr="00F121DE">
        <w:t xml:space="preserve">пункт </w:t>
      </w:r>
      <w:r w:rsidRPr="000577FB">
        <w:rPr>
          <w:bCs/>
          <w:color w:val="000000"/>
        </w:rPr>
        <w:t>доповнити новим підпунктом</w:t>
      </w:r>
      <w:r w:rsidR="002464A6" w:rsidRPr="002464A6">
        <w:rPr>
          <w:bCs/>
          <w:color w:val="000000"/>
          <w:lang w:val="ru-RU"/>
        </w:rPr>
        <w:t xml:space="preserve"> </w:t>
      </w:r>
      <w:r w:rsidRPr="000577FB">
        <w:rPr>
          <w:bCs/>
          <w:color w:val="000000"/>
        </w:rPr>
        <w:t>такого змісту:</w:t>
      </w:r>
    </w:p>
    <w:p w14:paraId="02370A54" w14:textId="11323D48" w:rsidR="001E6291" w:rsidRDefault="001E6291" w:rsidP="00AB332C">
      <w:pPr>
        <w:ind w:firstLine="709"/>
        <w:rPr>
          <w:rFonts w:eastAsiaTheme="minorEastAsia"/>
        </w:rPr>
      </w:pPr>
      <w:r>
        <w:rPr>
          <w:rFonts w:eastAsiaTheme="minorEastAsia"/>
        </w:rPr>
        <w:t>“</w:t>
      </w:r>
      <w:r w:rsidR="0078079D" w:rsidRPr="0078079D">
        <w:t>12) операції, що здійснюються з поточного (кореспондентського) рахунку торговця цінними паперами у випадку, визначеному в пункті 88</w:t>
      </w:r>
      <w:r w:rsidR="0078079D" w:rsidRPr="0078079D">
        <w:rPr>
          <w:vertAlign w:val="superscript"/>
        </w:rPr>
        <w:t>1</w:t>
      </w:r>
      <w:r w:rsidR="0078079D" w:rsidRPr="0078079D">
        <w:t xml:space="preserve"> розділу  IX цього Положення, за умови дотримання ліміту, визначеного в абзаці першому пункту 88 розділу IX цього Положення, згідно з вимогами цього Положення.</w:t>
      </w:r>
      <w:r>
        <w:rPr>
          <w:rFonts w:eastAsiaTheme="minorEastAsia"/>
        </w:rPr>
        <w:t>”;</w:t>
      </w:r>
    </w:p>
    <w:p w14:paraId="1CC0DF3B" w14:textId="77777777" w:rsidR="005C0A36" w:rsidRDefault="005C0A36" w:rsidP="00AB332C">
      <w:pPr>
        <w:ind w:firstLine="709"/>
      </w:pPr>
    </w:p>
    <w:p w14:paraId="65B91B67" w14:textId="6F3B60E2" w:rsidR="0078079D" w:rsidRDefault="005C0A36" w:rsidP="00AB332C">
      <w:pPr>
        <w:ind w:firstLine="709"/>
      </w:pPr>
      <w:r>
        <w:t>3) </w:t>
      </w:r>
      <w:r w:rsidR="0078079D" w:rsidRPr="00F121DE">
        <w:t xml:space="preserve">пункт </w:t>
      </w:r>
      <w:r w:rsidR="0078079D">
        <w:t xml:space="preserve">94 </w:t>
      </w:r>
      <w:r w:rsidR="0078079D" w:rsidRPr="000577FB">
        <w:rPr>
          <w:bCs/>
          <w:color w:val="000000"/>
        </w:rPr>
        <w:t xml:space="preserve">доповнити новим </w:t>
      </w:r>
      <w:r w:rsidR="0078079D">
        <w:rPr>
          <w:bCs/>
          <w:color w:val="000000"/>
        </w:rPr>
        <w:t>абзацом</w:t>
      </w:r>
      <w:r w:rsidR="0078079D" w:rsidRPr="000577FB">
        <w:rPr>
          <w:bCs/>
          <w:color w:val="000000"/>
        </w:rPr>
        <w:t xml:space="preserve"> такого змісту:</w:t>
      </w:r>
    </w:p>
    <w:p w14:paraId="20C4E05E" w14:textId="16E61963" w:rsidR="0078079D" w:rsidRPr="0078079D" w:rsidRDefault="0078079D" w:rsidP="0078079D">
      <w:pPr>
        <w:ind w:firstLine="709"/>
      </w:pPr>
      <w:r w:rsidRPr="002D6086">
        <w:t>“</w:t>
      </w:r>
      <w:r w:rsidR="00464DF4" w:rsidRPr="0078079D">
        <w:t xml:space="preserve">Валютною операцією </w:t>
      </w:r>
      <w:r w:rsidR="00464DF4">
        <w:t>у</w:t>
      </w:r>
      <w:r w:rsidRPr="0078079D">
        <w:t xml:space="preserve"> випадку, визначеному </w:t>
      </w:r>
      <w:r w:rsidR="00135353">
        <w:t>в</w:t>
      </w:r>
      <w:r w:rsidR="00135353" w:rsidRPr="0078079D">
        <w:t xml:space="preserve"> </w:t>
      </w:r>
      <w:r w:rsidRPr="0078079D">
        <w:t>пункті 88</w:t>
      </w:r>
      <w:r w:rsidRPr="0078079D">
        <w:rPr>
          <w:vertAlign w:val="superscript"/>
        </w:rPr>
        <w:t>1</w:t>
      </w:r>
      <w:r w:rsidRPr="0078079D">
        <w:t xml:space="preserve"> розділу IX цього Положення, </w:t>
      </w:r>
      <w:r w:rsidR="00135353">
        <w:t>з метою</w:t>
      </w:r>
      <w:r w:rsidRPr="0078079D">
        <w:t xml:space="preserve"> застосування в розділі IX цього Положення вважається  валютна операція з переказу коштів, отриманих торговцем цінними паперами від фізичної особи-резидента (ініціатора Валютної операції) для здійснення цією фізичною особою інвестиції за кордон, </w:t>
      </w:r>
      <w:r w:rsidR="00135353">
        <w:t>і</w:t>
      </w:r>
      <w:r w:rsidRPr="0078079D">
        <w:t>з поточного рахунку торговця цінними паперами (</w:t>
      </w:r>
      <w:r w:rsidR="00135353">
        <w:t>і</w:t>
      </w:r>
      <w:r w:rsidRPr="0078079D">
        <w:t>з власного кореспондентського рахунку, якщо торговцем цінними паперами є банк) за кордон/на поточні рахунки нерезидентів</w:t>
      </w:r>
      <w:r w:rsidR="00464DF4">
        <w:t> </w:t>
      </w:r>
      <w:r w:rsidR="00464DF4" w:rsidRPr="0078079D">
        <w:t>–</w:t>
      </w:r>
      <w:r w:rsidR="00E911A5">
        <w:t> </w:t>
      </w:r>
      <w:r w:rsidRPr="0078079D">
        <w:t>юридичних осіб, відкриті в Україні (крім інвестиційних рахунків). Інформація про таку Валютну операцію надсилається банком до Національного банку засобами АІС</w:t>
      </w:r>
      <w:r>
        <w:t xml:space="preserve"> </w:t>
      </w:r>
      <w:r w:rsidRPr="002D6086">
        <w:t>“</w:t>
      </w:r>
      <w:r w:rsidRPr="0078079D">
        <w:t xml:space="preserve">Е-ліміти” як інформація про валютну операцію фізичної особи-резидента для перевірки </w:t>
      </w:r>
      <w:r w:rsidR="007D436C" w:rsidRPr="007D436C">
        <w:t xml:space="preserve">ліміту цієї особи та внесення інформації про Валютну операцію до АІС “Е-ліміти” </w:t>
      </w:r>
      <w:r w:rsidR="00135353">
        <w:t>і</w:t>
      </w:r>
      <w:r w:rsidR="007D436C" w:rsidRPr="007D436C">
        <w:t>з метою</w:t>
      </w:r>
      <w:r w:rsidR="007D436C" w:rsidRPr="007D436C">
        <w:rPr>
          <w:b/>
        </w:rPr>
        <w:t xml:space="preserve"> </w:t>
      </w:r>
      <w:r w:rsidRPr="0078079D">
        <w:t xml:space="preserve">дотримання цією особою </w:t>
      </w:r>
      <w:bookmarkStart w:id="1" w:name="n308"/>
      <w:bookmarkEnd w:id="1"/>
      <w:r w:rsidRPr="0078079D">
        <w:t>ліміту, визначеного в абзаці першому пункту 88 розділу IX цього Положення, згідно з вимогами цього Положення.”;</w:t>
      </w:r>
    </w:p>
    <w:p w14:paraId="1055A54C" w14:textId="77777777" w:rsidR="0078079D" w:rsidRPr="0078079D" w:rsidRDefault="0078079D" w:rsidP="0078079D">
      <w:pPr>
        <w:ind w:firstLine="709"/>
      </w:pPr>
    </w:p>
    <w:p w14:paraId="1493D943" w14:textId="6A2225DC" w:rsidR="001E6291" w:rsidRDefault="0078079D" w:rsidP="00AB332C">
      <w:pPr>
        <w:ind w:firstLine="709"/>
        <w:rPr>
          <w:bCs/>
          <w:color w:val="000000"/>
        </w:rPr>
      </w:pPr>
      <w:r>
        <w:t>4) </w:t>
      </w:r>
      <w:r w:rsidR="001E6291" w:rsidRPr="00F121DE">
        <w:t xml:space="preserve">пункт </w:t>
      </w:r>
      <w:r w:rsidR="001E6291">
        <w:t xml:space="preserve">95 </w:t>
      </w:r>
      <w:r w:rsidR="001E6291" w:rsidRPr="000577FB">
        <w:rPr>
          <w:bCs/>
          <w:color w:val="000000"/>
        </w:rPr>
        <w:t xml:space="preserve">доповнити новим </w:t>
      </w:r>
      <w:r w:rsidR="001E6291">
        <w:rPr>
          <w:bCs/>
          <w:color w:val="000000"/>
        </w:rPr>
        <w:t>абзацом</w:t>
      </w:r>
      <w:r w:rsidR="001E6291" w:rsidRPr="000577FB">
        <w:rPr>
          <w:bCs/>
          <w:color w:val="000000"/>
        </w:rPr>
        <w:t xml:space="preserve"> такого змісту:</w:t>
      </w:r>
    </w:p>
    <w:p w14:paraId="3753608C" w14:textId="1E6A5322" w:rsidR="008937AF" w:rsidRDefault="008937AF" w:rsidP="008937AF">
      <w:pPr>
        <w:ind w:firstLine="709"/>
      </w:pPr>
      <w:r w:rsidRPr="007179B2">
        <w:t>“</w:t>
      </w:r>
      <w:r w:rsidR="00464DF4">
        <w:t xml:space="preserve">Ініціатором Валютної операції </w:t>
      </w:r>
      <w:r w:rsidR="00BA48A2" w:rsidRPr="00BA48A2">
        <w:t>у випадку, визначеному в пункті 88</w:t>
      </w:r>
      <w:r w:rsidR="00BA48A2" w:rsidRPr="00BA48A2">
        <w:rPr>
          <w:vertAlign w:val="superscript"/>
        </w:rPr>
        <w:t>1</w:t>
      </w:r>
      <w:r w:rsidR="00BA48A2" w:rsidRPr="00BA48A2">
        <w:t xml:space="preserve"> розділу IX цього Поло</w:t>
      </w:r>
      <w:r w:rsidR="00580E52">
        <w:t xml:space="preserve">ження, </w:t>
      </w:r>
      <w:r w:rsidR="00135353">
        <w:t xml:space="preserve">уважається </w:t>
      </w:r>
      <w:r w:rsidR="00580E52">
        <w:t>фізична особа-</w:t>
      </w:r>
      <w:r w:rsidR="00BA48A2" w:rsidRPr="00BA48A2">
        <w:t>резидент, що користується послугами торговця цінними паперами з метою здійснення інвестиції за кордон. Документи, що підтверджують таку Валютну операцію, можуть подаватися до банку фізичною особою-резидентом (ініціатором Валютної операції)  та/або торговцем цінними паперами.</w:t>
      </w:r>
      <w:r w:rsidRPr="007179B2">
        <w:t>”;</w:t>
      </w:r>
    </w:p>
    <w:p w14:paraId="3FDA91CC" w14:textId="77777777" w:rsidR="008937AF" w:rsidRPr="00602764" w:rsidRDefault="008937AF" w:rsidP="00AB332C">
      <w:pPr>
        <w:ind w:firstLine="709"/>
      </w:pPr>
    </w:p>
    <w:p w14:paraId="251C0E50" w14:textId="5C759E3F" w:rsidR="00BA48A2" w:rsidRDefault="00BA48A2" w:rsidP="00BA48A2">
      <w:pPr>
        <w:ind w:firstLine="709"/>
      </w:pPr>
      <w:r>
        <w:t>5</w:t>
      </w:r>
      <w:r w:rsidR="005C0A36">
        <w:t>) </w:t>
      </w:r>
      <w:r w:rsidRPr="00F121DE">
        <w:t xml:space="preserve">пункт </w:t>
      </w:r>
      <w:r w:rsidR="00464DF4">
        <w:t>97 після слова “(ініціатором</w:t>
      </w:r>
      <w:r>
        <w:t>” доповнити словами “</w:t>
      </w:r>
      <w:r w:rsidR="00464DF4">
        <w:t xml:space="preserve">, </w:t>
      </w:r>
      <w:r w:rsidRPr="00BA48A2">
        <w:rPr>
          <w:shd w:val="clear" w:color="auto" w:fill="FFFFFF"/>
          <w:lang w:eastAsia="ru-RU"/>
        </w:rPr>
        <w:t>торговцем цінними паперами</w:t>
      </w:r>
      <w:r>
        <w:t>”;</w:t>
      </w:r>
    </w:p>
    <w:p w14:paraId="0754FBCB" w14:textId="77777777" w:rsidR="00BA48A2" w:rsidRDefault="00BA48A2" w:rsidP="00AB332C">
      <w:pPr>
        <w:ind w:firstLine="709"/>
      </w:pPr>
    </w:p>
    <w:p w14:paraId="5D24708E" w14:textId="47E5B21F" w:rsidR="00FC6380" w:rsidRDefault="00BA48A2" w:rsidP="00AB332C">
      <w:pPr>
        <w:ind w:firstLine="709"/>
      </w:pPr>
      <w:r>
        <w:t>6</w:t>
      </w:r>
      <w:r w:rsidR="005C0A36">
        <w:t>) </w:t>
      </w:r>
      <w:r w:rsidR="00FC6380">
        <w:t xml:space="preserve">розділ після пункту 98 доповнити новим пунктом </w:t>
      </w:r>
      <w:r w:rsidR="00FC6380">
        <w:rPr>
          <w:rFonts w:eastAsiaTheme="minorEastAsia"/>
        </w:rPr>
        <w:t>98</w:t>
      </w:r>
      <w:r w:rsidR="00FC6380" w:rsidRPr="009D0803">
        <w:rPr>
          <w:rFonts w:eastAsiaTheme="minorEastAsia"/>
          <w:vertAlign w:val="superscript"/>
        </w:rPr>
        <w:t xml:space="preserve">1 </w:t>
      </w:r>
      <w:r w:rsidR="00FC6380" w:rsidRPr="009D0803">
        <w:rPr>
          <w:bCs/>
          <w:color w:val="000000"/>
        </w:rPr>
        <w:t>такого змісту:</w:t>
      </w:r>
    </w:p>
    <w:p w14:paraId="697DBD49" w14:textId="1FF5930C" w:rsidR="00FC6380" w:rsidRPr="00580E52" w:rsidRDefault="001E6291" w:rsidP="00486BE0">
      <w:pPr>
        <w:pStyle w:val="rvps2"/>
        <w:shd w:val="clear" w:color="auto" w:fill="FFFFFF"/>
        <w:spacing w:before="0" w:beforeAutospacing="0" w:after="150" w:afterAutospacing="0"/>
        <w:ind w:firstLine="709"/>
        <w:jc w:val="both"/>
        <w:rPr>
          <w:sz w:val="28"/>
          <w:szCs w:val="28"/>
          <w:lang w:val="uk-UA"/>
        </w:rPr>
      </w:pPr>
      <w:r w:rsidRPr="00580E52">
        <w:rPr>
          <w:lang w:val="uk-UA"/>
        </w:rPr>
        <w:t>“</w:t>
      </w:r>
      <w:r w:rsidR="00FC6380" w:rsidRPr="00580E52">
        <w:rPr>
          <w:sz w:val="28"/>
          <w:szCs w:val="28"/>
          <w:lang w:val="uk-UA"/>
        </w:rPr>
        <w:t>98</w:t>
      </w:r>
      <w:r w:rsidR="00FC6380" w:rsidRPr="00580E52">
        <w:rPr>
          <w:sz w:val="28"/>
          <w:szCs w:val="28"/>
          <w:vertAlign w:val="superscript"/>
          <w:lang w:val="uk-UA"/>
        </w:rPr>
        <w:t>1</w:t>
      </w:r>
      <w:r w:rsidR="00FC6380" w:rsidRPr="00580E52">
        <w:rPr>
          <w:sz w:val="28"/>
          <w:szCs w:val="28"/>
          <w:lang w:val="uk-UA"/>
        </w:rPr>
        <w:t xml:space="preserve">. Банк у випадку, визначеному </w:t>
      </w:r>
      <w:r w:rsidR="00135353">
        <w:rPr>
          <w:sz w:val="28"/>
          <w:szCs w:val="28"/>
          <w:lang w:val="uk-UA"/>
        </w:rPr>
        <w:t>в</w:t>
      </w:r>
      <w:r w:rsidR="00135353" w:rsidRPr="00580E52">
        <w:rPr>
          <w:sz w:val="28"/>
          <w:szCs w:val="28"/>
          <w:lang w:val="uk-UA"/>
        </w:rPr>
        <w:t xml:space="preserve"> </w:t>
      </w:r>
      <w:r w:rsidR="00FC6380" w:rsidRPr="00580E52">
        <w:rPr>
          <w:sz w:val="28"/>
          <w:szCs w:val="28"/>
          <w:lang w:val="uk-UA"/>
        </w:rPr>
        <w:t>пункті 88</w:t>
      </w:r>
      <w:r w:rsidR="00FC6380" w:rsidRPr="00580E52">
        <w:rPr>
          <w:sz w:val="28"/>
          <w:szCs w:val="28"/>
          <w:vertAlign w:val="superscript"/>
          <w:lang w:val="uk-UA"/>
        </w:rPr>
        <w:t>1</w:t>
      </w:r>
      <w:r w:rsidR="00FC6380" w:rsidRPr="00580E52">
        <w:rPr>
          <w:sz w:val="28"/>
          <w:szCs w:val="28"/>
          <w:lang w:val="uk-UA"/>
        </w:rPr>
        <w:t xml:space="preserve"> розділу IX цього Положення, </w:t>
      </w:r>
      <w:r w:rsidR="00135353" w:rsidRPr="00580E52">
        <w:rPr>
          <w:sz w:val="28"/>
          <w:szCs w:val="28"/>
          <w:lang w:val="uk-UA"/>
        </w:rPr>
        <w:t>п</w:t>
      </w:r>
      <w:r w:rsidR="00135353">
        <w:rPr>
          <w:sz w:val="28"/>
          <w:szCs w:val="28"/>
          <w:lang w:val="uk-UA"/>
        </w:rPr>
        <w:t>ід час</w:t>
      </w:r>
      <w:r w:rsidR="00135353" w:rsidRPr="00580E52">
        <w:rPr>
          <w:sz w:val="28"/>
          <w:szCs w:val="28"/>
          <w:lang w:val="uk-UA"/>
        </w:rPr>
        <w:t xml:space="preserve"> заповненн</w:t>
      </w:r>
      <w:r w:rsidR="00135353">
        <w:rPr>
          <w:sz w:val="28"/>
          <w:szCs w:val="28"/>
          <w:lang w:val="uk-UA"/>
        </w:rPr>
        <w:t>я</w:t>
      </w:r>
      <w:r w:rsidR="00135353" w:rsidRPr="00580E52">
        <w:rPr>
          <w:sz w:val="28"/>
          <w:szCs w:val="28"/>
          <w:lang w:val="uk-UA"/>
        </w:rPr>
        <w:t xml:space="preserve"> </w:t>
      </w:r>
      <w:r w:rsidR="00FC6380" w:rsidRPr="00580E52">
        <w:rPr>
          <w:sz w:val="28"/>
          <w:szCs w:val="28"/>
          <w:lang w:val="uk-UA"/>
        </w:rPr>
        <w:t>інформації до запиту, зазначеному в </w:t>
      </w:r>
      <w:hyperlink r:id="rId18" w:anchor="n310" w:history="1">
        <w:r w:rsidR="00FC6380" w:rsidRPr="00580E52">
          <w:rPr>
            <w:sz w:val="28"/>
            <w:szCs w:val="28"/>
            <w:lang w:val="uk-UA"/>
          </w:rPr>
          <w:t>пункті 97</w:t>
        </w:r>
      </w:hyperlink>
      <w:r w:rsidR="00FC6380" w:rsidRPr="00580E52">
        <w:rPr>
          <w:sz w:val="28"/>
          <w:szCs w:val="28"/>
          <w:lang w:val="uk-UA"/>
        </w:rPr>
        <w:t> розділу IХ цього Положення, має врахувати таке:</w:t>
      </w:r>
    </w:p>
    <w:p w14:paraId="17D37E00" w14:textId="7375FF31" w:rsidR="00FC6380" w:rsidRPr="00580E52" w:rsidRDefault="00FC6380" w:rsidP="00486BE0">
      <w:pPr>
        <w:pStyle w:val="rvps2"/>
        <w:shd w:val="clear" w:color="auto" w:fill="FFFFFF"/>
        <w:spacing w:before="0" w:beforeAutospacing="0" w:after="150" w:afterAutospacing="0"/>
        <w:ind w:firstLine="709"/>
        <w:jc w:val="both"/>
        <w:rPr>
          <w:sz w:val="28"/>
          <w:szCs w:val="28"/>
          <w:lang w:val="uk-UA"/>
        </w:rPr>
      </w:pPr>
      <w:r w:rsidRPr="00580E52">
        <w:rPr>
          <w:sz w:val="28"/>
          <w:szCs w:val="28"/>
          <w:lang w:val="uk-UA"/>
        </w:rPr>
        <w:t xml:space="preserve">1) </w:t>
      </w:r>
      <w:r w:rsidR="00135353">
        <w:rPr>
          <w:sz w:val="28"/>
          <w:szCs w:val="28"/>
          <w:lang w:val="uk-UA"/>
        </w:rPr>
        <w:t>у</w:t>
      </w:r>
      <w:r w:rsidR="00135353" w:rsidRPr="00580E52">
        <w:rPr>
          <w:sz w:val="28"/>
          <w:szCs w:val="28"/>
          <w:lang w:val="uk-UA"/>
        </w:rPr>
        <w:t xml:space="preserve"> </w:t>
      </w:r>
      <w:r w:rsidRPr="00580E52">
        <w:rPr>
          <w:sz w:val="28"/>
          <w:szCs w:val="28"/>
          <w:lang w:val="uk-UA"/>
        </w:rPr>
        <w:t>відомостях щодо резидента (ініціатора Валютної операції) зазначаються відомості щодо фізичної особи-резидента (ініціатора Валютної операції), що користується послугами торговця цінними паперами з метою здійснення інвестиції за кордон;</w:t>
      </w:r>
    </w:p>
    <w:p w14:paraId="27958FBB" w14:textId="43C97597" w:rsidR="00FC6380" w:rsidRPr="00580E52" w:rsidRDefault="00FC6380" w:rsidP="00486BE0">
      <w:pPr>
        <w:pStyle w:val="rvps2"/>
        <w:shd w:val="clear" w:color="auto" w:fill="FFFFFF"/>
        <w:spacing w:before="0" w:beforeAutospacing="0" w:after="150" w:afterAutospacing="0"/>
        <w:ind w:firstLine="709"/>
        <w:jc w:val="both"/>
        <w:rPr>
          <w:sz w:val="28"/>
          <w:szCs w:val="28"/>
          <w:lang w:val="uk-UA"/>
        </w:rPr>
      </w:pPr>
      <w:r w:rsidRPr="00580E52">
        <w:rPr>
          <w:sz w:val="28"/>
          <w:szCs w:val="28"/>
          <w:lang w:val="uk-UA"/>
        </w:rPr>
        <w:t xml:space="preserve">2) </w:t>
      </w:r>
      <w:r w:rsidR="00135353">
        <w:rPr>
          <w:sz w:val="28"/>
          <w:szCs w:val="28"/>
          <w:lang w:val="uk-UA"/>
        </w:rPr>
        <w:t>у</w:t>
      </w:r>
      <w:r w:rsidR="00135353" w:rsidRPr="00580E52">
        <w:rPr>
          <w:sz w:val="28"/>
          <w:szCs w:val="28"/>
          <w:lang w:val="uk-UA"/>
        </w:rPr>
        <w:t xml:space="preserve"> </w:t>
      </w:r>
      <w:r w:rsidRPr="00580E52">
        <w:rPr>
          <w:sz w:val="28"/>
          <w:szCs w:val="28"/>
          <w:lang w:val="uk-UA"/>
        </w:rPr>
        <w:t xml:space="preserve">відомостях щодо мети проведення Валютної операції резидента </w:t>
      </w:r>
      <w:r w:rsidR="00580E52" w:rsidRPr="00580E52">
        <w:rPr>
          <w:sz w:val="28"/>
          <w:szCs w:val="28"/>
          <w:lang w:val="uk-UA"/>
        </w:rPr>
        <w:t>–</w:t>
      </w:r>
      <w:r w:rsidRPr="00580E52">
        <w:rPr>
          <w:sz w:val="28"/>
          <w:szCs w:val="28"/>
          <w:lang w:val="uk-UA"/>
        </w:rPr>
        <w:t xml:space="preserve"> здійснення інвестиції за кордон;</w:t>
      </w:r>
    </w:p>
    <w:p w14:paraId="2FB7C895" w14:textId="1036AAB0" w:rsidR="00FC6380" w:rsidRPr="00580E52" w:rsidRDefault="00FC6380" w:rsidP="00486BE0">
      <w:pPr>
        <w:pStyle w:val="rvps2"/>
        <w:shd w:val="clear" w:color="auto" w:fill="FFFFFF"/>
        <w:spacing w:before="0" w:beforeAutospacing="0" w:after="150" w:afterAutospacing="0"/>
        <w:ind w:firstLine="709"/>
        <w:jc w:val="both"/>
        <w:rPr>
          <w:sz w:val="28"/>
          <w:szCs w:val="28"/>
          <w:lang w:val="uk-UA"/>
        </w:rPr>
      </w:pPr>
      <w:r w:rsidRPr="00580E52">
        <w:rPr>
          <w:sz w:val="28"/>
          <w:szCs w:val="28"/>
          <w:lang w:val="uk-UA"/>
        </w:rPr>
        <w:t xml:space="preserve">3) </w:t>
      </w:r>
      <w:r w:rsidR="00135353">
        <w:rPr>
          <w:sz w:val="28"/>
          <w:szCs w:val="28"/>
          <w:lang w:val="uk-UA"/>
        </w:rPr>
        <w:t>у</w:t>
      </w:r>
      <w:r w:rsidR="00135353" w:rsidRPr="00580E52">
        <w:rPr>
          <w:sz w:val="28"/>
          <w:szCs w:val="28"/>
          <w:lang w:val="uk-UA"/>
        </w:rPr>
        <w:t xml:space="preserve"> </w:t>
      </w:r>
      <w:r w:rsidRPr="00580E52">
        <w:rPr>
          <w:sz w:val="28"/>
          <w:szCs w:val="28"/>
          <w:lang w:val="uk-UA"/>
        </w:rPr>
        <w:t xml:space="preserve">відомостях щодо суми Валютної операції </w:t>
      </w:r>
      <w:r w:rsidR="00580E52" w:rsidRPr="00580E52">
        <w:rPr>
          <w:sz w:val="28"/>
          <w:szCs w:val="28"/>
          <w:lang w:val="uk-UA"/>
        </w:rPr>
        <w:t>–</w:t>
      </w:r>
      <w:r w:rsidRPr="00580E52">
        <w:rPr>
          <w:sz w:val="28"/>
          <w:szCs w:val="28"/>
          <w:lang w:val="uk-UA"/>
        </w:rPr>
        <w:t xml:space="preserve"> сума коштів, що переказується з поточного/кореспондентського рахунку торговця цінними паперами та була о</w:t>
      </w:r>
      <w:r w:rsidR="00E911A5">
        <w:rPr>
          <w:sz w:val="28"/>
          <w:szCs w:val="28"/>
          <w:lang w:val="uk-UA"/>
        </w:rPr>
        <w:t xml:space="preserve">тримана ним від </w:t>
      </w:r>
      <w:r w:rsidR="00580E52">
        <w:rPr>
          <w:sz w:val="28"/>
          <w:szCs w:val="28"/>
          <w:lang w:val="uk-UA"/>
        </w:rPr>
        <w:t>фізичної особи</w:t>
      </w:r>
      <w:r w:rsidR="00580E52" w:rsidRPr="00FC6380">
        <w:rPr>
          <w:rFonts w:eastAsiaTheme="minorEastAsia"/>
          <w:sz w:val="28"/>
          <w:szCs w:val="28"/>
          <w:lang w:val="uk-UA" w:eastAsia="uk-UA"/>
        </w:rPr>
        <w:t>-</w:t>
      </w:r>
      <w:r w:rsidRPr="00580E52">
        <w:rPr>
          <w:sz w:val="28"/>
          <w:szCs w:val="28"/>
          <w:lang w:val="uk-UA"/>
        </w:rPr>
        <w:t>резидента (ініціатора Валютної операції) для здійснення інвестиції за кордон;</w:t>
      </w:r>
    </w:p>
    <w:p w14:paraId="30E6CECC" w14:textId="02E7B2E9" w:rsidR="001E6291" w:rsidRPr="003815B3" w:rsidRDefault="00FC6380" w:rsidP="00486BE0">
      <w:pPr>
        <w:ind w:firstLine="709"/>
      </w:pPr>
      <w:r w:rsidRPr="00580E52">
        <w:t xml:space="preserve">4) </w:t>
      </w:r>
      <w:r w:rsidR="00135353">
        <w:t xml:space="preserve">у </w:t>
      </w:r>
      <w:r w:rsidR="00135353" w:rsidRPr="00580E52">
        <w:t>відомост</w:t>
      </w:r>
      <w:r w:rsidR="00135353">
        <w:t>ях</w:t>
      </w:r>
      <w:r w:rsidR="00135353" w:rsidRPr="00580E52">
        <w:t xml:space="preserve"> </w:t>
      </w:r>
      <w:r w:rsidRPr="00580E52">
        <w:t>щодо отримувача переказу коштів та реквізитів його</w:t>
      </w:r>
      <w:r w:rsidRPr="00FC6380">
        <w:t xml:space="preserve"> рахунку</w:t>
      </w:r>
      <w:r w:rsidR="00580E52">
        <w:t> </w:t>
      </w:r>
      <w:r w:rsidRPr="00FC6380">
        <w:t xml:space="preserve"> – відомості щодо особи (отримувача), на рахунок якої здійснюється переказ </w:t>
      </w:r>
      <w:r w:rsidR="00135353">
        <w:t>і</w:t>
      </w:r>
      <w:r w:rsidRPr="00FC6380">
        <w:t>з поточного/кореспондентського рахунку торговця цінними паперами.</w:t>
      </w:r>
      <w:r w:rsidR="001E6291" w:rsidRPr="002D6086">
        <w:t>”</w:t>
      </w:r>
      <w:r w:rsidR="001E6291">
        <w:t>.</w:t>
      </w:r>
      <w:r w:rsidR="001E6291" w:rsidRPr="003815B3">
        <w:t xml:space="preserve"> </w:t>
      </w:r>
    </w:p>
    <w:p w14:paraId="21982AB7" w14:textId="77777777" w:rsidR="001E6291" w:rsidRPr="003815B3" w:rsidRDefault="001E6291" w:rsidP="00486BE0">
      <w:pPr>
        <w:ind w:firstLine="709"/>
      </w:pPr>
    </w:p>
    <w:p w14:paraId="65AB6510" w14:textId="3217658D" w:rsidR="001E6291" w:rsidRDefault="00AB332C" w:rsidP="00486BE0">
      <w:pPr>
        <w:ind w:firstLine="709"/>
      </w:pPr>
      <w:r>
        <w:t>3</w:t>
      </w:r>
      <w:r w:rsidR="005C0A36">
        <w:t>.</w:t>
      </w:r>
      <w:r w:rsidR="001E6291">
        <w:t> </w:t>
      </w:r>
      <w:r w:rsidR="005C0A36">
        <w:t>У</w:t>
      </w:r>
      <w:r w:rsidR="001E6291" w:rsidRPr="000577FB">
        <w:t xml:space="preserve"> розділі Х:</w:t>
      </w:r>
    </w:p>
    <w:p w14:paraId="15733B08" w14:textId="77777777" w:rsidR="005C0A36" w:rsidRDefault="005C0A36" w:rsidP="00AB332C">
      <w:pPr>
        <w:ind w:firstLine="709"/>
      </w:pPr>
    </w:p>
    <w:p w14:paraId="7B51104E" w14:textId="31EC868F" w:rsidR="001E6291" w:rsidRPr="007179B2" w:rsidRDefault="005C0A36" w:rsidP="00AB332C">
      <w:pPr>
        <w:ind w:firstLine="709"/>
      </w:pPr>
      <w:r w:rsidRPr="007179B2">
        <w:t>1) </w:t>
      </w:r>
      <w:r w:rsidR="001E6291" w:rsidRPr="007179B2">
        <w:t xml:space="preserve">пункт 109 </w:t>
      </w:r>
      <w:r w:rsidR="001E6291" w:rsidRPr="007179B2">
        <w:rPr>
          <w:bCs/>
          <w:color w:val="000000"/>
        </w:rPr>
        <w:t>доповнити новим підпунктом такого змісту:</w:t>
      </w:r>
    </w:p>
    <w:p w14:paraId="6FEB81A9" w14:textId="03545D3B" w:rsidR="001E6291" w:rsidRPr="007179B2" w:rsidRDefault="001E6291" w:rsidP="00AB332C">
      <w:pPr>
        <w:pStyle w:val="rvps2"/>
        <w:shd w:val="clear" w:color="auto" w:fill="FFFFFF"/>
        <w:spacing w:before="0" w:beforeAutospacing="0" w:after="0" w:afterAutospacing="0"/>
        <w:ind w:firstLine="709"/>
        <w:jc w:val="both"/>
        <w:rPr>
          <w:rFonts w:eastAsiaTheme="minorEastAsia"/>
          <w:lang w:val="uk-UA"/>
        </w:rPr>
      </w:pPr>
      <w:r w:rsidRPr="007179B2">
        <w:rPr>
          <w:bCs/>
          <w:color w:val="000000"/>
        </w:rPr>
        <w:t>“</w:t>
      </w:r>
      <w:r w:rsidR="00FC6380" w:rsidRPr="00FC6380">
        <w:rPr>
          <w:rFonts w:eastAsiaTheme="minorEastAsia"/>
          <w:sz w:val="28"/>
          <w:szCs w:val="28"/>
          <w:lang w:val="uk-UA" w:eastAsia="uk-UA"/>
        </w:rPr>
        <w:t>28) із зарахування коштів, переказаних фізичною особою-резидентом на рахунок торговця цінними паперами за операціями, визначеними в пункті 88</w:t>
      </w:r>
      <w:r w:rsidR="00FC6380" w:rsidRPr="00FC6380">
        <w:rPr>
          <w:rFonts w:eastAsiaTheme="minorEastAsia"/>
          <w:sz w:val="28"/>
          <w:szCs w:val="28"/>
          <w:vertAlign w:val="superscript"/>
          <w:lang w:val="uk-UA" w:eastAsia="uk-UA"/>
        </w:rPr>
        <w:t>1</w:t>
      </w:r>
      <w:r w:rsidR="00FC6380" w:rsidRPr="00FC6380">
        <w:rPr>
          <w:rFonts w:eastAsiaTheme="minorEastAsia"/>
          <w:sz w:val="28"/>
          <w:szCs w:val="28"/>
          <w:lang w:val="uk-UA" w:eastAsia="uk-UA"/>
        </w:rPr>
        <w:t xml:space="preserve"> розділу IX цього Положення, а також переказу торговцем цінними паперами коштів на рахунок фізичної  особи-резидента за цими операціями.</w:t>
      </w:r>
      <w:r w:rsidRPr="007179B2">
        <w:rPr>
          <w:rFonts w:eastAsiaTheme="minorEastAsia"/>
          <w:sz w:val="28"/>
          <w:szCs w:val="28"/>
          <w:lang w:val="uk-UA"/>
        </w:rPr>
        <w:t>”;</w:t>
      </w:r>
    </w:p>
    <w:p w14:paraId="2AC88DFF" w14:textId="77777777" w:rsidR="005C0A36" w:rsidRPr="007179B2" w:rsidRDefault="005C0A36" w:rsidP="00AB332C">
      <w:pPr>
        <w:shd w:val="clear" w:color="auto" w:fill="FFFFFF"/>
        <w:ind w:firstLine="709"/>
      </w:pPr>
    </w:p>
    <w:p w14:paraId="38DA1E04" w14:textId="38706230" w:rsidR="001E6291" w:rsidRPr="007179B2" w:rsidRDefault="005C0A36" w:rsidP="00AB332C">
      <w:pPr>
        <w:shd w:val="clear" w:color="auto" w:fill="FFFFFF"/>
        <w:ind w:firstLine="709"/>
      </w:pPr>
      <w:r w:rsidRPr="007179B2">
        <w:t>2) </w:t>
      </w:r>
      <w:r w:rsidR="001E6291" w:rsidRPr="007179B2">
        <w:t>у пункті 118:</w:t>
      </w:r>
    </w:p>
    <w:p w14:paraId="22BE4F67" w14:textId="068F7600" w:rsidR="001E6291" w:rsidRPr="007179B2" w:rsidRDefault="00DD752A" w:rsidP="00AB332C">
      <w:pPr>
        <w:shd w:val="clear" w:color="auto" w:fill="FFFFFF"/>
        <w:ind w:firstLine="709"/>
        <w:rPr>
          <w:rFonts w:eastAsiaTheme="minorEastAsia"/>
        </w:rPr>
      </w:pPr>
      <w:r w:rsidRPr="007179B2">
        <w:t xml:space="preserve">пункт </w:t>
      </w:r>
      <w:r w:rsidR="001E6291" w:rsidRPr="007179B2">
        <w:t xml:space="preserve">після підпункту </w:t>
      </w:r>
      <w:r w:rsidR="001E6291" w:rsidRPr="007179B2">
        <w:rPr>
          <w:bCs/>
        </w:rPr>
        <w:t>19 доповнити новим підпунктом 19</w:t>
      </w:r>
      <w:r w:rsidR="001E6291" w:rsidRPr="007179B2">
        <w:rPr>
          <w:bCs/>
          <w:vertAlign w:val="superscript"/>
        </w:rPr>
        <w:t>1</w:t>
      </w:r>
      <w:r w:rsidR="001E6291" w:rsidRPr="007179B2">
        <w:rPr>
          <w:bCs/>
        </w:rPr>
        <w:t xml:space="preserve"> такого змісту:</w:t>
      </w:r>
    </w:p>
    <w:p w14:paraId="79F8F4FC" w14:textId="3FF28B42" w:rsidR="001E6291" w:rsidRPr="007179B2" w:rsidRDefault="001E6291" w:rsidP="00AB332C">
      <w:pPr>
        <w:shd w:val="clear" w:color="auto" w:fill="FFFFFF"/>
        <w:ind w:firstLine="709"/>
        <w:rPr>
          <w:rFonts w:eastAsiaTheme="minorEastAsia"/>
        </w:rPr>
      </w:pPr>
      <w:r w:rsidRPr="007179B2">
        <w:rPr>
          <w:rFonts w:eastAsiaTheme="minorEastAsia"/>
        </w:rPr>
        <w:t>“</w:t>
      </w:r>
      <w:r w:rsidR="00FC6380" w:rsidRPr="00FC6380">
        <w:rPr>
          <w:rFonts w:eastAsiaTheme="minorEastAsia"/>
        </w:rPr>
        <w:t>19</w:t>
      </w:r>
      <w:r w:rsidR="00FC6380" w:rsidRPr="00FC6380">
        <w:rPr>
          <w:rFonts w:eastAsiaTheme="minorEastAsia"/>
          <w:vertAlign w:val="superscript"/>
        </w:rPr>
        <w:t>1</w:t>
      </w:r>
      <w:r w:rsidR="00FC6380" w:rsidRPr="00FC6380">
        <w:rPr>
          <w:rFonts w:eastAsiaTheme="minorEastAsia"/>
        </w:rPr>
        <w:t>) із зарахування коштів, переказаних власнику рахунку резидентом-посередником у вигляді доходів, прибутків, інших коштів за операціями з цінними паперами іноземних емітентів, які надійшли із-за кордону та належать фізичній особі-резиденту (власнику рахунку);</w:t>
      </w:r>
      <w:r w:rsidRPr="007179B2">
        <w:rPr>
          <w:rFonts w:eastAsiaTheme="minorEastAsia"/>
        </w:rPr>
        <w:t>”;</w:t>
      </w:r>
    </w:p>
    <w:p w14:paraId="5EDB6E31" w14:textId="3BB9F65F" w:rsidR="001E6291" w:rsidRPr="007179B2" w:rsidRDefault="00F02AAF" w:rsidP="00AB332C">
      <w:pPr>
        <w:shd w:val="clear" w:color="auto" w:fill="FFFFFF"/>
        <w:ind w:firstLine="709"/>
        <w:rPr>
          <w:rFonts w:eastAsiaTheme="minorEastAsia"/>
        </w:rPr>
      </w:pPr>
      <w:r w:rsidRPr="007179B2">
        <w:t xml:space="preserve">пункт </w:t>
      </w:r>
      <w:r w:rsidR="001E6291" w:rsidRPr="007179B2">
        <w:t xml:space="preserve">після підпункту </w:t>
      </w:r>
      <w:r w:rsidR="001E6291" w:rsidRPr="007179B2">
        <w:rPr>
          <w:bCs/>
        </w:rPr>
        <w:t>23 доповнити новим підпунктом 23</w:t>
      </w:r>
      <w:r w:rsidR="001E6291" w:rsidRPr="007179B2">
        <w:rPr>
          <w:bCs/>
          <w:vertAlign w:val="superscript"/>
        </w:rPr>
        <w:t>1</w:t>
      </w:r>
      <w:r w:rsidR="001E6291" w:rsidRPr="007179B2">
        <w:rPr>
          <w:bCs/>
        </w:rPr>
        <w:t xml:space="preserve"> такого змісту:</w:t>
      </w:r>
    </w:p>
    <w:p w14:paraId="231F3760" w14:textId="4833EA01" w:rsidR="001E6291" w:rsidRPr="00155174" w:rsidRDefault="001E6291" w:rsidP="00FC6380">
      <w:pPr>
        <w:pBdr>
          <w:top w:val="nil"/>
          <w:left w:val="nil"/>
          <w:bottom w:val="nil"/>
          <w:right w:val="nil"/>
          <w:between w:val="nil"/>
        </w:pBdr>
        <w:shd w:val="clear" w:color="auto" w:fill="FFFFFF"/>
        <w:ind w:firstLine="709"/>
      </w:pPr>
      <w:r w:rsidRPr="007179B2">
        <w:t>“</w:t>
      </w:r>
      <w:r w:rsidR="00FC6380" w:rsidRPr="00FC6380">
        <w:rPr>
          <w:rFonts w:eastAsiaTheme="minorEastAsia"/>
        </w:rPr>
        <w:t>23</w:t>
      </w:r>
      <w:r w:rsidR="00FC6380" w:rsidRPr="00FC6380">
        <w:rPr>
          <w:rFonts w:eastAsiaTheme="minorEastAsia"/>
          <w:vertAlign w:val="superscript"/>
        </w:rPr>
        <w:t>1</w:t>
      </w:r>
      <w:r w:rsidR="00FC6380" w:rsidRPr="00FC6380">
        <w:rPr>
          <w:rFonts w:eastAsiaTheme="minorEastAsia"/>
        </w:rPr>
        <w:t>) із переказу коштів на рахунок торговця цінними паперами за операціями, визначеними в пункті 88</w:t>
      </w:r>
      <w:r w:rsidR="00FC6380" w:rsidRPr="00FC6380">
        <w:rPr>
          <w:rFonts w:eastAsiaTheme="minorEastAsia"/>
          <w:vertAlign w:val="superscript"/>
        </w:rPr>
        <w:t>1</w:t>
      </w:r>
      <w:r w:rsidR="00FC6380" w:rsidRPr="00FC6380">
        <w:rPr>
          <w:rFonts w:eastAsiaTheme="minorEastAsia"/>
        </w:rPr>
        <w:t xml:space="preserve"> розділу IX цього Положення, а також зарахування коштів, переказаних </w:t>
      </w:r>
      <w:r w:rsidR="00135353">
        <w:rPr>
          <w:rFonts w:eastAsiaTheme="minorEastAsia"/>
        </w:rPr>
        <w:t>і</w:t>
      </w:r>
      <w:r w:rsidR="00FC6380" w:rsidRPr="00FC6380">
        <w:rPr>
          <w:rFonts w:eastAsiaTheme="minorEastAsia"/>
        </w:rPr>
        <w:t>з рахунку торговця цінними паперами за цими операціями;</w:t>
      </w:r>
      <w:r w:rsidRPr="007179B2">
        <w:t>”.</w:t>
      </w:r>
    </w:p>
    <w:p w14:paraId="64DDB81B" w14:textId="77777777" w:rsidR="00BB7208" w:rsidRDefault="00BB7208" w:rsidP="00955A33">
      <w:pPr>
        <w:ind w:firstLine="709"/>
        <w:jc w:val="center"/>
      </w:pPr>
    </w:p>
    <w:sectPr w:rsidR="00BB7208" w:rsidSect="00955A33">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FB145" w14:textId="77777777" w:rsidR="009518F8" w:rsidRDefault="009518F8" w:rsidP="00E53CCD">
      <w:r>
        <w:separator/>
      </w:r>
    </w:p>
  </w:endnote>
  <w:endnote w:type="continuationSeparator" w:id="0">
    <w:p w14:paraId="4785ED40" w14:textId="77777777" w:rsidR="009518F8" w:rsidRDefault="009518F8"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20B0604020202020204"/>
    <w:charset w:val="00"/>
    <w:family w:val="swiss"/>
    <w:notTrueType/>
    <w:pitch w:val="variable"/>
    <w:sig w:usb0="00000003" w:usb1="00000000" w:usb2="00000000" w:usb3="00000000" w:csb0="00000001"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3267" w14:textId="77777777" w:rsidR="00786EDE" w:rsidRDefault="00786E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F6C9" w14:textId="77777777" w:rsidR="00786EDE" w:rsidRDefault="00786ED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AE90" w14:textId="77777777" w:rsidR="00786EDE" w:rsidRDefault="00786E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C7104" w14:textId="77777777" w:rsidR="009518F8" w:rsidRDefault="009518F8" w:rsidP="00E53CCD">
      <w:r>
        <w:separator/>
      </w:r>
    </w:p>
  </w:footnote>
  <w:footnote w:type="continuationSeparator" w:id="0">
    <w:p w14:paraId="27A222FB" w14:textId="77777777" w:rsidR="009518F8" w:rsidRDefault="009518F8"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A4E9C" w14:textId="77777777" w:rsidR="00786EDE" w:rsidRDefault="00786E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32199"/>
      <w:docPartObj>
        <w:docPartGallery w:val="Page Numbers (Top of Page)"/>
        <w:docPartUnique/>
      </w:docPartObj>
    </w:sdtPr>
    <w:sdtEndPr/>
    <w:sdtContent>
      <w:p w14:paraId="32B2F6D1" w14:textId="19125C6F" w:rsidR="00460BA2" w:rsidRDefault="00FE0B90">
        <w:pPr>
          <w:pStyle w:val="a5"/>
          <w:jc w:val="center"/>
        </w:pPr>
        <w:r>
          <w:fldChar w:fldCharType="begin"/>
        </w:r>
        <w:r w:rsidR="00460BA2">
          <w:instrText xml:space="preserve"> PAGE   \* MERGEFORMAT </w:instrText>
        </w:r>
        <w:r>
          <w:fldChar w:fldCharType="separate"/>
        </w:r>
        <w:r w:rsidR="00786EDE">
          <w:rPr>
            <w:noProof/>
          </w:rPr>
          <w:t>3</w:t>
        </w:r>
        <w:r>
          <w:fldChar w:fldCharType="end"/>
        </w:r>
      </w:p>
    </w:sdtContent>
  </w:sdt>
  <w:p w14:paraId="32B2F6D2" w14:textId="77777777" w:rsidR="00460BA2" w:rsidRDefault="00460BA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493F" w14:textId="484315D2" w:rsidR="00AB062E" w:rsidRPr="00F01069" w:rsidRDefault="00F01069" w:rsidP="00F01069">
    <w:pPr>
      <w:pStyle w:val="a5"/>
      <w:jc w:val="right"/>
    </w:pPr>
    <w:r>
      <w:t xml:space="preserve">Офіційно опубліковано </w:t>
    </w:r>
    <w:r w:rsidR="00D43518">
      <w:t>29</w:t>
    </w:r>
    <w:r>
      <w:t>.06.2021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BB0F" w14:textId="13CA0297" w:rsidR="00F01069" w:rsidRPr="00F01069" w:rsidRDefault="00F01069" w:rsidP="00F01069">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4A68"/>
    <w:multiLevelType w:val="hybridMultilevel"/>
    <w:tmpl w:val="B136E6AE"/>
    <w:lvl w:ilvl="0" w:tplc="1ADE16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4DCA0800"/>
    <w:multiLevelType w:val="hybridMultilevel"/>
    <w:tmpl w:val="EEBC2458"/>
    <w:lvl w:ilvl="0" w:tplc="192E3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F4C3CD9"/>
    <w:multiLevelType w:val="hybridMultilevel"/>
    <w:tmpl w:val="590A4458"/>
    <w:lvl w:ilvl="0" w:tplc="3C26E272">
      <w:start w:val="1"/>
      <w:numFmt w:val="decimal"/>
      <w:lvlText w:val="%1)"/>
      <w:lvlJc w:val="left"/>
      <w:pPr>
        <w:ind w:left="1065" w:hanging="360"/>
      </w:pPr>
      <w:rPr>
        <w:rFonts w:hint="default"/>
        <w:color w:val="FF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6D44232C"/>
    <w:multiLevelType w:val="hybridMultilevel"/>
    <w:tmpl w:val="63121D44"/>
    <w:lvl w:ilvl="0" w:tplc="41FE1F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720501FA"/>
    <w:multiLevelType w:val="hybridMultilevel"/>
    <w:tmpl w:val="0DA603BA"/>
    <w:lvl w:ilvl="0" w:tplc="54EC75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295B"/>
    <w:rsid w:val="000130D6"/>
    <w:rsid w:val="00014176"/>
    <w:rsid w:val="00015CF3"/>
    <w:rsid w:val="00015FDE"/>
    <w:rsid w:val="00026DF2"/>
    <w:rsid w:val="000271C0"/>
    <w:rsid w:val="0003331E"/>
    <w:rsid w:val="000342A5"/>
    <w:rsid w:val="00034B3E"/>
    <w:rsid w:val="0003793C"/>
    <w:rsid w:val="000543C6"/>
    <w:rsid w:val="000600A8"/>
    <w:rsid w:val="00061C52"/>
    <w:rsid w:val="00062D24"/>
    <w:rsid w:val="00063480"/>
    <w:rsid w:val="000638F2"/>
    <w:rsid w:val="000675AE"/>
    <w:rsid w:val="00075CC7"/>
    <w:rsid w:val="00085379"/>
    <w:rsid w:val="0008770E"/>
    <w:rsid w:val="000877E5"/>
    <w:rsid w:val="000A1363"/>
    <w:rsid w:val="000A7CB3"/>
    <w:rsid w:val="000B2990"/>
    <w:rsid w:val="000D07FF"/>
    <w:rsid w:val="000D68F0"/>
    <w:rsid w:val="000D778F"/>
    <w:rsid w:val="000E0CB3"/>
    <w:rsid w:val="000E5B8C"/>
    <w:rsid w:val="000E7A13"/>
    <w:rsid w:val="001008B0"/>
    <w:rsid w:val="0010474C"/>
    <w:rsid w:val="00106229"/>
    <w:rsid w:val="00115ECF"/>
    <w:rsid w:val="00117D06"/>
    <w:rsid w:val="0012072A"/>
    <w:rsid w:val="00122A49"/>
    <w:rsid w:val="0012385B"/>
    <w:rsid w:val="001310C8"/>
    <w:rsid w:val="001346CC"/>
    <w:rsid w:val="00135353"/>
    <w:rsid w:val="00155174"/>
    <w:rsid w:val="001631E2"/>
    <w:rsid w:val="001716B0"/>
    <w:rsid w:val="001740C0"/>
    <w:rsid w:val="001847A1"/>
    <w:rsid w:val="00190E1A"/>
    <w:rsid w:val="001A0EE5"/>
    <w:rsid w:val="001A16FA"/>
    <w:rsid w:val="001A4CB9"/>
    <w:rsid w:val="001A6795"/>
    <w:rsid w:val="001A7797"/>
    <w:rsid w:val="001C206C"/>
    <w:rsid w:val="001C2B26"/>
    <w:rsid w:val="001D2EB7"/>
    <w:rsid w:val="001D487A"/>
    <w:rsid w:val="001E6291"/>
    <w:rsid w:val="00206EC0"/>
    <w:rsid w:val="00214A39"/>
    <w:rsid w:val="002238D1"/>
    <w:rsid w:val="00226FF5"/>
    <w:rsid w:val="00233F37"/>
    <w:rsid w:val="00241373"/>
    <w:rsid w:val="002414CE"/>
    <w:rsid w:val="002464A6"/>
    <w:rsid w:val="00247BC8"/>
    <w:rsid w:val="00253BF9"/>
    <w:rsid w:val="002600A3"/>
    <w:rsid w:val="00264983"/>
    <w:rsid w:val="00266678"/>
    <w:rsid w:val="00276988"/>
    <w:rsid w:val="00280DCC"/>
    <w:rsid w:val="00285DDA"/>
    <w:rsid w:val="00290169"/>
    <w:rsid w:val="0029730B"/>
    <w:rsid w:val="002A0F8A"/>
    <w:rsid w:val="002A1C9A"/>
    <w:rsid w:val="002A2391"/>
    <w:rsid w:val="002A49DE"/>
    <w:rsid w:val="002A4BA3"/>
    <w:rsid w:val="002B351E"/>
    <w:rsid w:val="002B3F71"/>
    <w:rsid w:val="002B582B"/>
    <w:rsid w:val="002C1FDB"/>
    <w:rsid w:val="002C3F54"/>
    <w:rsid w:val="002C706C"/>
    <w:rsid w:val="002D1790"/>
    <w:rsid w:val="002D6086"/>
    <w:rsid w:val="002D6F9D"/>
    <w:rsid w:val="002E5D7E"/>
    <w:rsid w:val="002E7D81"/>
    <w:rsid w:val="002E7E6E"/>
    <w:rsid w:val="002F35BE"/>
    <w:rsid w:val="002F48EF"/>
    <w:rsid w:val="00303AB7"/>
    <w:rsid w:val="00304F8D"/>
    <w:rsid w:val="00307733"/>
    <w:rsid w:val="00310CBB"/>
    <w:rsid w:val="00322472"/>
    <w:rsid w:val="003226C6"/>
    <w:rsid w:val="00324B1C"/>
    <w:rsid w:val="00331332"/>
    <w:rsid w:val="00332701"/>
    <w:rsid w:val="00340D07"/>
    <w:rsid w:val="00345982"/>
    <w:rsid w:val="00356E34"/>
    <w:rsid w:val="00357676"/>
    <w:rsid w:val="00361495"/>
    <w:rsid w:val="00363E29"/>
    <w:rsid w:val="00365898"/>
    <w:rsid w:val="0037618F"/>
    <w:rsid w:val="00377389"/>
    <w:rsid w:val="0038385E"/>
    <w:rsid w:val="00384F65"/>
    <w:rsid w:val="00391EFD"/>
    <w:rsid w:val="00394EC6"/>
    <w:rsid w:val="003960F5"/>
    <w:rsid w:val="0039725C"/>
    <w:rsid w:val="003A16E7"/>
    <w:rsid w:val="003A751F"/>
    <w:rsid w:val="003B2821"/>
    <w:rsid w:val="003C2C93"/>
    <w:rsid w:val="003C3282"/>
    <w:rsid w:val="003C3985"/>
    <w:rsid w:val="003C66D0"/>
    <w:rsid w:val="003D17CE"/>
    <w:rsid w:val="003D620B"/>
    <w:rsid w:val="003D6B33"/>
    <w:rsid w:val="003F0441"/>
    <w:rsid w:val="003F28B5"/>
    <w:rsid w:val="003F430A"/>
    <w:rsid w:val="003F563D"/>
    <w:rsid w:val="003F6727"/>
    <w:rsid w:val="003F7093"/>
    <w:rsid w:val="00401EDB"/>
    <w:rsid w:val="00404C93"/>
    <w:rsid w:val="00407877"/>
    <w:rsid w:val="004130B9"/>
    <w:rsid w:val="0043496A"/>
    <w:rsid w:val="004408C9"/>
    <w:rsid w:val="00446704"/>
    <w:rsid w:val="00455176"/>
    <w:rsid w:val="00455B45"/>
    <w:rsid w:val="00460BA2"/>
    <w:rsid w:val="00464DF4"/>
    <w:rsid w:val="004666D6"/>
    <w:rsid w:val="004770F4"/>
    <w:rsid w:val="00486BE0"/>
    <w:rsid w:val="00496417"/>
    <w:rsid w:val="00496653"/>
    <w:rsid w:val="004A1CFC"/>
    <w:rsid w:val="004A7F75"/>
    <w:rsid w:val="004B1FE9"/>
    <w:rsid w:val="004B47C8"/>
    <w:rsid w:val="004B5574"/>
    <w:rsid w:val="004B7178"/>
    <w:rsid w:val="004D2B57"/>
    <w:rsid w:val="004E1ED1"/>
    <w:rsid w:val="004E22E2"/>
    <w:rsid w:val="004E4C97"/>
    <w:rsid w:val="004E7993"/>
    <w:rsid w:val="004F0E3A"/>
    <w:rsid w:val="0050563F"/>
    <w:rsid w:val="00514135"/>
    <w:rsid w:val="005203BF"/>
    <w:rsid w:val="005212A1"/>
    <w:rsid w:val="005212C5"/>
    <w:rsid w:val="00523C13"/>
    <w:rsid w:val="00524F07"/>
    <w:rsid w:val="005257C2"/>
    <w:rsid w:val="00532633"/>
    <w:rsid w:val="005403F1"/>
    <w:rsid w:val="00542194"/>
    <w:rsid w:val="00542533"/>
    <w:rsid w:val="00547C18"/>
    <w:rsid w:val="005624B6"/>
    <w:rsid w:val="00562C46"/>
    <w:rsid w:val="0057237F"/>
    <w:rsid w:val="005731D8"/>
    <w:rsid w:val="00577396"/>
    <w:rsid w:val="00577402"/>
    <w:rsid w:val="00580231"/>
    <w:rsid w:val="00580E52"/>
    <w:rsid w:val="005822CB"/>
    <w:rsid w:val="00587DE3"/>
    <w:rsid w:val="00591EBE"/>
    <w:rsid w:val="00597AB6"/>
    <w:rsid w:val="005A0F4B"/>
    <w:rsid w:val="005A1D3C"/>
    <w:rsid w:val="005A3F34"/>
    <w:rsid w:val="005B11A6"/>
    <w:rsid w:val="005B2D03"/>
    <w:rsid w:val="005C0A36"/>
    <w:rsid w:val="005C5CBF"/>
    <w:rsid w:val="005D3B88"/>
    <w:rsid w:val="005D45F5"/>
    <w:rsid w:val="005E3A06"/>
    <w:rsid w:val="005E3FA8"/>
    <w:rsid w:val="005F3A39"/>
    <w:rsid w:val="005F46A4"/>
    <w:rsid w:val="005F4CB4"/>
    <w:rsid w:val="005F6B35"/>
    <w:rsid w:val="00610C86"/>
    <w:rsid w:val="0061795F"/>
    <w:rsid w:val="0062503A"/>
    <w:rsid w:val="00640612"/>
    <w:rsid w:val="0064227D"/>
    <w:rsid w:val="00645A5C"/>
    <w:rsid w:val="0065179F"/>
    <w:rsid w:val="00653AA6"/>
    <w:rsid w:val="00657593"/>
    <w:rsid w:val="00670C95"/>
    <w:rsid w:val="00677CC2"/>
    <w:rsid w:val="00687474"/>
    <w:rsid w:val="006925CE"/>
    <w:rsid w:val="00692C8C"/>
    <w:rsid w:val="006A6AB0"/>
    <w:rsid w:val="006B2748"/>
    <w:rsid w:val="006B3ADC"/>
    <w:rsid w:val="006B465F"/>
    <w:rsid w:val="006C06A1"/>
    <w:rsid w:val="006C0F22"/>
    <w:rsid w:val="006C13B1"/>
    <w:rsid w:val="006C4176"/>
    <w:rsid w:val="006C66EF"/>
    <w:rsid w:val="006D2617"/>
    <w:rsid w:val="006D3165"/>
    <w:rsid w:val="006E4741"/>
    <w:rsid w:val="006E5F28"/>
    <w:rsid w:val="006E799C"/>
    <w:rsid w:val="00700AA3"/>
    <w:rsid w:val="00711B38"/>
    <w:rsid w:val="007142BA"/>
    <w:rsid w:val="00714823"/>
    <w:rsid w:val="00717197"/>
    <w:rsid w:val="0071789F"/>
    <w:rsid w:val="007179B2"/>
    <w:rsid w:val="00717BF4"/>
    <w:rsid w:val="00727DD5"/>
    <w:rsid w:val="00727E22"/>
    <w:rsid w:val="00730088"/>
    <w:rsid w:val="007342BF"/>
    <w:rsid w:val="00743840"/>
    <w:rsid w:val="0074488B"/>
    <w:rsid w:val="00747222"/>
    <w:rsid w:val="00750898"/>
    <w:rsid w:val="007533A4"/>
    <w:rsid w:val="00773559"/>
    <w:rsid w:val="0078079D"/>
    <w:rsid w:val="0078127A"/>
    <w:rsid w:val="00783AF2"/>
    <w:rsid w:val="00786EDE"/>
    <w:rsid w:val="00787E46"/>
    <w:rsid w:val="007902E9"/>
    <w:rsid w:val="00793852"/>
    <w:rsid w:val="007A1E54"/>
    <w:rsid w:val="007A2BCB"/>
    <w:rsid w:val="007A6609"/>
    <w:rsid w:val="007B3538"/>
    <w:rsid w:val="007B4A79"/>
    <w:rsid w:val="007B7B73"/>
    <w:rsid w:val="007C2CED"/>
    <w:rsid w:val="007C4442"/>
    <w:rsid w:val="007C58A5"/>
    <w:rsid w:val="007D1072"/>
    <w:rsid w:val="007D436C"/>
    <w:rsid w:val="007F4EC9"/>
    <w:rsid w:val="007F7754"/>
    <w:rsid w:val="00802988"/>
    <w:rsid w:val="00803E93"/>
    <w:rsid w:val="00810FDE"/>
    <w:rsid w:val="00814D01"/>
    <w:rsid w:val="00817443"/>
    <w:rsid w:val="008415A0"/>
    <w:rsid w:val="008535DD"/>
    <w:rsid w:val="0085364B"/>
    <w:rsid w:val="00857F0C"/>
    <w:rsid w:val="00866993"/>
    <w:rsid w:val="00874366"/>
    <w:rsid w:val="00874B8B"/>
    <w:rsid w:val="00875EF9"/>
    <w:rsid w:val="008762D8"/>
    <w:rsid w:val="00876715"/>
    <w:rsid w:val="00886149"/>
    <w:rsid w:val="008900CE"/>
    <w:rsid w:val="008937AF"/>
    <w:rsid w:val="00897035"/>
    <w:rsid w:val="008A1346"/>
    <w:rsid w:val="008A694D"/>
    <w:rsid w:val="008B1589"/>
    <w:rsid w:val="008B716E"/>
    <w:rsid w:val="008B74DD"/>
    <w:rsid w:val="008C6477"/>
    <w:rsid w:val="008C72B5"/>
    <w:rsid w:val="008D10FD"/>
    <w:rsid w:val="008D122F"/>
    <w:rsid w:val="008D5F60"/>
    <w:rsid w:val="008D622C"/>
    <w:rsid w:val="008D727F"/>
    <w:rsid w:val="008F0210"/>
    <w:rsid w:val="008F2600"/>
    <w:rsid w:val="008F5D52"/>
    <w:rsid w:val="00904F17"/>
    <w:rsid w:val="00905751"/>
    <w:rsid w:val="00912847"/>
    <w:rsid w:val="00922966"/>
    <w:rsid w:val="0092323F"/>
    <w:rsid w:val="00924C95"/>
    <w:rsid w:val="0092710A"/>
    <w:rsid w:val="00935960"/>
    <w:rsid w:val="00937AE3"/>
    <w:rsid w:val="00937D24"/>
    <w:rsid w:val="00943175"/>
    <w:rsid w:val="009518F8"/>
    <w:rsid w:val="00954131"/>
    <w:rsid w:val="00955A33"/>
    <w:rsid w:val="0095741D"/>
    <w:rsid w:val="00964ACC"/>
    <w:rsid w:val="0097275A"/>
    <w:rsid w:val="0097288F"/>
    <w:rsid w:val="009816DF"/>
    <w:rsid w:val="0098207E"/>
    <w:rsid w:val="00990AAE"/>
    <w:rsid w:val="0099209C"/>
    <w:rsid w:val="00997824"/>
    <w:rsid w:val="009A601D"/>
    <w:rsid w:val="009A67CE"/>
    <w:rsid w:val="009B1B76"/>
    <w:rsid w:val="009B4D39"/>
    <w:rsid w:val="009B6120"/>
    <w:rsid w:val="009C2F76"/>
    <w:rsid w:val="009D6CB6"/>
    <w:rsid w:val="009E00CB"/>
    <w:rsid w:val="009E54AE"/>
    <w:rsid w:val="009F06A2"/>
    <w:rsid w:val="009F16D4"/>
    <w:rsid w:val="009F5312"/>
    <w:rsid w:val="00A02AEC"/>
    <w:rsid w:val="00A0594A"/>
    <w:rsid w:val="00A10493"/>
    <w:rsid w:val="00A12C47"/>
    <w:rsid w:val="00A23E04"/>
    <w:rsid w:val="00A417B6"/>
    <w:rsid w:val="00A46C15"/>
    <w:rsid w:val="00A50DC0"/>
    <w:rsid w:val="00A51787"/>
    <w:rsid w:val="00A6174B"/>
    <w:rsid w:val="00A63695"/>
    <w:rsid w:val="00A72F06"/>
    <w:rsid w:val="00A730F2"/>
    <w:rsid w:val="00A77FFD"/>
    <w:rsid w:val="00A92E07"/>
    <w:rsid w:val="00AA4B46"/>
    <w:rsid w:val="00AB062E"/>
    <w:rsid w:val="00AB332C"/>
    <w:rsid w:val="00AB3C0E"/>
    <w:rsid w:val="00AB4554"/>
    <w:rsid w:val="00AB7797"/>
    <w:rsid w:val="00AC2472"/>
    <w:rsid w:val="00AC47B6"/>
    <w:rsid w:val="00AC6594"/>
    <w:rsid w:val="00AD0E0D"/>
    <w:rsid w:val="00AD3334"/>
    <w:rsid w:val="00AD7DF9"/>
    <w:rsid w:val="00AE29BB"/>
    <w:rsid w:val="00AE2CAF"/>
    <w:rsid w:val="00AE5750"/>
    <w:rsid w:val="00AF33D9"/>
    <w:rsid w:val="00AF5AB5"/>
    <w:rsid w:val="00B002E4"/>
    <w:rsid w:val="00B13E8D"/>
    <w:rsid w:val="00B22220"/>
    <w:rsid w:val="00B332B2"/>
    <w:rsid w:val="00B34CCC"/>
    <w:rsid w:val="00B353CB"/>
    <w:rsid w:val="00B3665D"/>
    <w:rsid w:val="00B36EC7"/>
    <w:rsid w:val="00B36EDD"/>
    <w:rsid w:val="00B40674"/>
    <w:rsid w:val="00B40B77"/>
    <w:rsid w:val="00B4613D"/>
    <w:rsid w:val="00B61C97"/>
    <w:rsid w:val="00B628C5"/>
    <w:rsid w:val="00B71933"/>
    <w:rsid w:val="00B8078D"/>
    <w:rsid w:val="00BA48A2"/>
    <w:rsid w:val="00BB7208"/>
    <w:rsid w:val="00BC2AE1"/>
    <w:rsid w:val="00BC5F0B"/>
    <w:rsid w:val="00BD12A3"/>
    <w:rsid w:val="00BD278A"/>
    <w:rsid w:val="00BD4D57"/>
    <w:rsid w:val="00BD6D34"/>
    <w:rsid w:val="00BD79DE"/>
    <w:rsid w:val="00BD7F6E"/>
    <w:rsid w:val="00BE00AB"/>
    <w:rsid w:val="00BE2F5F"/>
    <w:rsid w:val="00BF2B58"/>
    <w:rsid w:val="00BF47B0"/>
    <w:rsid w:val="00BF5327"/>
    <w:rsid w:val="00C21D33"/>
    <w:rsid w:val="00C2286F"/>
    <w:rsid w:val="00C27D3E"/>
    <w:rsid w:val="00C3382F"/>
    <w:rsid w:val="00C35049"/>
    <w:rsid w:val="00C3627C"/>
    <w:rsid w:val="00C368A1"/>
    <w:rsid w:val="00C37952"/>
    <w:rsid w:val="00C4377C"/>
    <w:rsid w:val="00C44D3D"/>
    <w:rsid w:val="00C47C9E"/>
    <w:rsid w:val="00C47F0F"/>
    <w:rsid w:val="00C51D84"/>
    <w:rsid w:val="00C52506"/>
    <w:rsid w:val="00C6501B"/>
    <w:rsid w:val="00C82259"/>
    <w:rsid w:val="00C9297C"/>
    <w:rsid w:val="00C94014"/>
    <w:rsid w:val="00CA02CB"/>
    <w:rsid w:val="00CA1B8C"/>
    <w:rsid w:val="00CA7473"/>
    <w:rsid w:val="00CB0A99"/>
    <w:rsid w:val="00CB4355"/>
    <w:rsid w:val="00CB5A09"/>
    <w:rsid w:val="00CB69B4"/>
    <w:rsid w:val="00CD0AAC"/>
    <w:rsid w:val="00CD0CD4"/>
    <w:rsid w:val="00CD7726"/>
    <w:rsid w:val="00CE3B9F"/>
    <w:rsid w:val="00CF103A"/>
    <w:rsid w:val="00CF1FB8"/>
    <w:rsid w:val="00CF2C65"/>
    <w:rsid w:val="00D078B6"/>
    <w:rsid w:val="00D1022C"/>
    <w:rsid w:val="00D177E9"/>
    <w:rsid w:val="00D1795D"/>
    <w:rsid w:val="00D21B38"/>
    <w:rsid w:val="00D2483E"/>
    <w:rsid w:val="00D27115"/>
    <w:rsid w:val="00D34DCC"/>
    <w:rsid w:val="00D43518"/>
    <w:rsid w:val="00D50C04"/>
    <w:rsid w:val="00D61D9B"/>
    <w:rsid w:val="00D63305"/>
    <w:rsid w:val="00D64B4B"/>
    <w:rsid w:val="00D65797"/>
    <w:rsid w:val="00D74524"/>
    <w:rsid w:val="00D828C4"/>
    <w:rsid w:val="00D945BF"/>
    <w:rsid w:val="00DA2F09"/>
    <w:rsid w:val="00DB788E"/>
    <w:rsid w:val="00DC1E60"/>
    <w:rsid w:val="00DC3D29"/>
    <w:rsid w:val="00DD5BFA"/>
    <w:rsid w:val="00DD60CC"/>
    <w:rsid w:val="00DD752A"/>
    <w:rsid w:val="00DF4D12"/>
    <w:rsid w:val="00E10AE2"/>
    <w:rsid w:val="00E10F0A"/>
    <w:rsid w:val="00E21875"/>
    <w:rsid w:val="00E25407"/>
    <w:rsid w:val="00E32599"/>
    <w:rsid w:val="00E33B0E"/>
    <w:rsid w:val="00E34641"/>
    <w:rsid w:val="00E42621"/>
    <w:rsid w:val="00E42CC3"/>
    <w:rsid w:val="00E43EDF"/>
    <w:rsid w:val="00E446A6"/>
    <w:rsid w:val="00E5388C"/>
    <w:rsid w:val="00E53CA7"/>
    <w:rsid w:val="00E53CB5"/>
    <w:rsid w:val="00E53CCD"/>
    <w:rsid w:val="00E60E7E"/>
    <w:rsid w:val="00E62607"/>
    <w:rsid w:val="00E716E8"/>
    <w:rsid w:val="00E71855"/>
    <w:rsid w:val="00E719A9"/>
    <w:rsid w:val="00E72CD5"/>
    <w:rsid w:val="00E7659F"/>
    <w:rsid w:val="00E911A5"/>
    <w:rsid w:val="00EA09D0"/>
    <w:rsid w:val="00EA1435"/>
    <w:rsid w:val="00EA1DE4"/>
    <w:rsid w:val="00EA60EA"/>
    <w:rsid w:val="00EB29BF"/>
    <w:rsid w:val="00EC7C7F"/>
    <w:rsid w:val="00EE4030"/>
    <w:rsid w:val="00EF4B42"/>
    <w:rsid w:val="00EF4F5D"/>
    <w:rsid w:val="00F003D3"/>
    <w:rsid w:val="00F008AB"/>
    <w:rsid w:val="00F01069"/>
    <w:rsid w:val="00F02AAF"/>
    <w:rsid w:val="00F03E32"/>
    <w:rsid w:val="00F23B77"/>
    <w:rsid w:val="00F243B0"/>
    <w:rsid w:val="00F42289"/>
    <w:rsid w:val="00F42E75"/>
    <w:rsid w:val="00F440E4"/>
    <w:rsid w:val="00F45D65"/>
    <w:rsid w:val="00F517FA"/>
    <w:rsid w:val="00F52D16"/>
    <w:rsid w:val="00F539EA"/>
    <w:rsid w:val="00F54EC2"/>
    <w:rsid w:val="00F62D67"/>
    <w:rsid w:val="00F63BD9"/>
    <w:rsid w:val="00F6694C"/>
    <w:rsid w:val="00F776BD"/>
    <w:rsid w:val="00F8145F"/>
    <w:rsid w:val="00F9283D"/>
    <w:rsid w:val="00F95617"/>
    <w:rsid w:val="00F96F18"/>
    <w:rsid w:val="00FA508E"/>
    <w:rsid w:val="00FA5320"/>
    <w:rsid w:val="00FA7846"/>
    <w:rsid w:val="00FB3DBB"/>
    <w:rsid w:val="00FC26E5"/>
    <w:rsid w:val="00FC34B0"/>
    <w:rsid w:val="00FC4C1A"/>
    <w:rsid w:val="00FC6380"/>
    <w:rsid w:val="00FD19F1"/>
    <w:rsid w:val="00FD370F"/>
    <w:rsid w:val="00FE0B90"/>
    <w:rsid w:val="00FE7F09"/>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B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customStyle="1" w:styleId="rvps2">
    <w:name w:val="rvps2"/>
    <w:basedOn w:val="a"/>
    <w:rsid w:val="00E60E7E"/>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AB3C0E"/>
    <w:rPr>
      <w:sz w:val="16"/>
      <w:szCs w:val="16"/>
    </w:rPr>
  </w:style>
  <w:style w:type="paragraph" w:styleId="af5">
    <w:name w:val="annotation text"/>
    <w:basedOn w:val="a"/>
    <w:link w:val="af6"/>
    <w:uiPriority w:val="99"/>
    <w:semiHidden/>
    <w:unhideWhenUsed/>
    <w:rsid w:val="00AB3C0E"/>
    <w:rPr>
      <w:sz w:val="20"/>
      <w:szCs w:val="20"/>
    </w:rPr>
  </w:style>
  <w:style w:type="character" w:customStyle="1" w:styleId="af6">
    <w:name w:val="Текст примечания Знак"/>
    <w:basedOn w:val="a0"/>
    <w:link w:val="af5"/>
    <w:uiPriority w:val="99"/>
    <w:semiHidden/>
    <w:rsid w:val="00AB3C0E"/>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AB3C0E"/>
    <w:rPr>
      <w:b/>
      <w:bCs/>
    </w:rPr>
  </w:style>
  <w:style w:type="character" w:customStyle="1" w:styleId="af8">
    <w:name w:val="Тема примечания Знак"/>
    <w:basedOn w:val="af6"/>
    <w:link w:val="af7"/>
    <w:uiPriority w:val="99"/>
    <w:semiHidden/>
    <w:rsid w:val="00AB3C0E"/>
    <w:rPr>
      <w:rFonts w:ascii="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zakon.rada.gov.ua/laws/show/v0005500-1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CD291E-E0B7-4642-A411-AE497C6F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2321</Words>
  <Characters>15631</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2021-07-20T13:44:00Z</dcterms:created>
  <dcterms:modified xsi:type="dcterms:W3CDTF">2021-07-20T13:44:00Z</dcterms:modified>
</cp:coreProperties>
</file>