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27" w:rsidRPr="00DD014A" w:rsidRDefault="00346E27">
      <w:pPr>
        <w:rPr>
          <w:sz w:val="2"/>
          <w:szCs w:val="2"/>
          <w:lang w:val="ru-RU"/>
        </w:rPr>
      </w:pPr>
      <w:bookmarkStart w:id="0" w:name="_gjdgxs" w:colFirst="0" w:colLast="0"/>
      <w:bookmarkStart w:id="1" w:name="_GoBack"/>
      <w:bookmarkEnd w:id="0"/>
      <w:bookmarkEnd w:id="1"/>
    </w:p>
    <w:p w:rsidR="00346E27" w:rsidRDefault="00346E27">
      <w:pPr>
        <w:rPr>
          <w:sz w:val="2"/>
          <w:szCs w:val="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1F22" w:rsidRPr="000E70C7" w:rsidTr="003A3C88">
        <w:trPr>
          <w:trHeight w:val="851"/>
        </w:trPr>
        <w:tc>
          <w:tcPr>
            <w:tcW w:w="3284" w:type="dxa"/>
          </w:tcPr>
          <w:p w:rsidR="00DA1F22" w:rsidRPr="000E70C7" w:rsidRDefault="00DA1F22" w:rsidP="00DA1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</w:tcPr>
          <w:p w:rsidR="00DA1F22" w:rsidRPr="000E70C7" w:rsidRDefault="00DA1F22" w:rsidP="00DA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C7">
              <w:rPr>
                <w:rFonts w:ascii="Times New Roman" w:hAnsi="Times New Roman"/>
                <w:sz w:val="28"/>
                <w:szCs w:val="28"/>
                <w:lang w:eastAsia="uk-UA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7" o:title=""/>
                </v:shape>
                <o:OLEObject Type="Embed" ProgID="CorelDraw.Graphic.16" ShapeID="_x0000_i1025" DrawAspect="Content" ObjectID="_1688304475" r:id="rId8"/>
              </w:object>
            </w:r>
          </w:p>
        </w:tc>
        <w:tc>
          <w:tcPr>
            <w:tcW w:w="3285" w:type="dxa"/>
          </w:tcPr>
          <w:p w:rsidR="00DA1F22" w:rsidRPr="000E70C7" w:rsidRDefault="00DA1F22" w:rsidP="00DA1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F22" w:rsidRPr="000E70C7" w:rsidTr="003A3C88">
        <w:tc>
          <w:tcPr>
            <w:tcW w:w="3284" w:type="dxa"/>
          </w:tcPr>
          <w:p w:rsidR="00DA1F22" w:rsidRPr="000E70C7" w:rsidRDefault="00DA1F22" w:rsidP="00DA1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DA1F22" w:rsidRPr="000E70C7" w:rsidRDefault="00DA1F22" w:rsidP="00DA1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A1F22" w:rsidRPr="000E70C7" w:rsidRDefault="00DA1F22" w:rsidP="00DA1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F22" w:rsidRPr="000E70C7" w:rsidTr="003A3C88">
        <w:tc>
          <w:tcPr>
            <w:tcW w:w="9854" w:type="dxa"/>
            <w:gridSpan w:val="3"/>
          </w:tcPr>
          <w:p w:rsidR="00DA1F22" w:rsidRPr="000E70C7" w:rsidRDefault="00DA1F22" w:rsidP="00DA1F22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</w:pPr>
            <w:r w:rsidRPr="000E70C7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  <w:t>Правління Національного банку України</w:t>
            </w:r>
          </w:p>
          <w:p w:rsidR="00DA1F22" w:rsidRPr="000E70C7" w:rsidRDefault="00DA1F22" w:rsidP="00DA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C7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DA1F22" w:rsidRPr="00DA1F22" w:rsidRDefault="00DA1F22" w:rsidP="00DA1F22">
      <w:pPr>
        <w:rPr>
          <w:sz w:val="4"/>
          <w:szCs w:val="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DA1F22" w:rsidRPr="00DA1F22" w:rsidTr="003A3C88">
        <w:tc>
          <w:tcPr>
            <w:tcW w:w="3510" w:type="dxa"/>
            <w:vAlign w:val="bottom"/>
          </w:tcPr>
          <w:p w:rsidR="00DA1F22" w:rsidRPr="00DA1F22" w:rsidRDefault="00AF3AD3" w:rsidP="00DA1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червня 2021 року</w:t>
            </w:r>
          </w:p>
        </w:tc>
        <w:tc>
          <w:tcPr>
            <w:tcW w:w="2694" w:type="dxa"/>
          </w:tcPr>
          <w:p w:rsidR="00DA1F22" w:rsidRPr="00DA1F22" w:rsidRDefault="00DA1F22" w:rsidP="00DA1F22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F22">
              <w:rPr>
                <w:rFonts w:ascii="Times New Roman" w:hAnsi="Times New Roman"/>
                <w:color w:val="006600"/>
                <w:sz w:val="28"/>
                <w:szCs w:val="28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DA1F22" w:rsidRPr="00DA1F22" w:rsidRDefault="00DA1F22" w:rsidP="00DA1F22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1F22">
              <w:rPr>
                <w:rFonts w:ascii="Times New Roman" w:hAnsi="Times New Roman"/>
                <w:color w:val="FFFFFF"/>
                <w:sz w:val="28"/>
                <w:szCs w:val="28"/>
              </w:rPr>
              <w:t>№</w:t>
            </w:r>
          </w:p>
        </w:tc>
        <w:tc>
          <w:tcPr>
            <w:tcW w:w="1937" w:type="dxa"/>
            <w:vAlign w:val="bottom"/>
          </w:tcPr>
          <w:p w:rsidR="00DA1F22" w:rsidRPr="00DA1F22" w:rsidRDefault="00AF3AD3" w:rsidP="00DA1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</w:t>
            </w:r>
          </w:p>
        </w:tc>
      </w:tr>
    </w:tbl>
    <w:p w:rsidR="00346E27" w:rsidRDefault="00346E27">
      <w:pPr>
        <w:rPr>
          <w:sz w:val="2"/>
          <w:szCs w:val="2"/>
        </w:rPr>
      </w:pPr>
    </w:p>
    <w:p w:rsidR="00346E27" w:rsidRDefault="00346E27">
      <w:pPr>
        <w:ind w:firstLine="709"/>
        <w:jc w:val="center"/>
        <w:rPr>
          <w:color w:val="000000"/>
        </w:rPr>
      </w:pPr>
    </w:p>
    <w:tbl>
      <w:tblPr>
        <w:tblStyle w:val="a7"/>
        <w:tblW w:w="680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3"/>
      </w:tblGrid>
      <w:tr w:rsidR="00346E27">
        <w:trPr>
          <w:jc w:val="center"/>
        </w:trPr>
        <w:tc>
          <w:tcPr>
            <w:tcW w:w="6803" w:type="dxa"/>
          </w:tcPr>
          <w:p w:rsidR="00346E27" w:rsidRDefault="000C14F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 затвердження Положення про порядок погодження Національним банком України специфікацій деривативних контрактів грошового ринку та внесення змін до деяких нормативно-правових актів Національного банку України</w:t>
            </w:r>
          </w:p>
        </w:tc>
      </w:tr>
    </w:tbl>
    <w:p w:rsidR="00346E27" w:rsidRDefault="000C14F4">
      <w:pPr>
        <w:spacing w:before="240" w:after="240"/>
        <w:ind w:firstLine="709"/>
        <w:rPr>
          <w:b/>
        </w:rPr>
      </w:pPr>
      <w:r>
        <w:t xml:space="preserve">Відповідно до статей 6, 7, 15, 44, 45, 56 Закону України “Про Національний банк України”, Закону України </w:t>
      </w:r>
      <w:r>
        <w:rPr>
          <w:color w:val="000000"/>
          <w:highlight w:val="white"/>
        </w:rPr>
        <w:t xml:space="preserve">від 19 червня 2020 року № 738-ІХ </w:t>
      </w:r>
      <w:r>
        <w:t>“Про внесення змін до деяких законодавчих актів України щодо спрощення залучення інвестицій та запровадження нових фінансових інструментів” та з метою приведення нормативно-правових актів Національного банку України у відповідність до вимог законодавства України Правління Національного банку України</w:t>
      </w:r>
      <w:r>
        <w:rPr>
          <w:b/>
        </w:rPr>
        <w:t xml:space="preserve"> постановляє:</w:t>
      </w:r>
    </w:p>
    <w:p w:rsidR="00346E27" w:rsidRDefault="000C14F4">
      <w:pPr>
        <w:spacing w:before="240" w:after="240"/>
        <w:ind w:firstLine="709"/>
        <w:rPr>
          <w:color w:val="000000"/>
        </w:rPr>
      </w:pPr>
      <w:r>
        <w:t xml:space="preserve">1. Затвердити </w:t>
      </w:r>
      <w:r>
        <w:rPr>
          <w:color w:val="000000"/>
        </w:rPr>
        <w:t>Положення про порядок погодження Національним банком України специфікацій деривативних контрактів грошового ринку, що додається.</w:t>
      </w:r>
    </w:p>
    <w:p w:rsidR="00346E27" w:rsidRDefault="000C14F4">
      <w:pPr>
        <w:ind w:firstLine="709"/>
      </w:pPr>
      <w:r>
        <w:rPr>
          <w:color w:val="000000"/>
        </w:rPr>
        <w:t>2. </w:t>
      </w:r>
      <w:r>
        <w:t>Затвердити Зміни до:</w:t>
      </w:r>
    </w:p>
    <w:p w:rsidR="00346E27" w:rsidRDefault="00346E27">
      <w:pPr>
        <w:ind w:firstLine="709"/>
      </w:pPr>
    </w:p>
    <w:p w:rsidR="00346E27" w:rsidRDefault="000C14F4">
      <w:pPr>
        <w:ind w:firstLine="709"/>
      </w:pPr>
      <w:r>
        <w:t>1) </w:t>
      </w:r>
      <w:r>
        <w:rPr>
          <w:color w:val="000000"/>
        </w:rPr>
        <w:t xml:space="preserve">Положення про структуру валютного ринку України, умови та порядок торгівлі іноземною валютою та банківськими металами на валютному ринку України, </w:t>
      </w:r>
      <w:r>
        <w:t>затвердженого постановою Правління Національного банку України від 02 січня 2019 року № 1 (зі змінами), що додаються;</w:t>
      </w:r>
    </w:p>
    <w:p w:rsidR="00346E27" w:rsidRDefault="00346E27">
      <w:pPr>
        <w:ind w:firstLine="709"/>
      </w:pPr>
    </w:p>
    <w:p w:rsidR="00346E27" w:rsidRDefault="000C14F4">
      <w:pPr>
        <w:ind w:firstLine="720"/>
      </w:pPr>
      <w:r>
        <w:t>2) Положення про заходи захисту та визначення порядку здійснення окремих операцій в іноземній валюті, затвердженого постановою Правління Національного банку України від 02 січня 2019 року № 5 (зі змінами), що додаються.</w:t>
      </w:r>
    </w:p>
    <w:p w:rsidR="00346E27" w:rsidRDefault="000C14F4">
      <w:pPr>
        <w:spacing w:before="240" w:after="240"/>
        <w:ind w:firstLine="709"/>
        <w:rPr>
          <w:color w:val="000000"/>
        </w:rPr>
      </w:pPr>
      <w:r>
        <w:rPr>
          <w:color w:val="000000"/>
        </w:rPr>
        <w:t xml:space="preserve">3. У підпункті 10 пункту 4 Положення про порядок здійснення уповноваженими установами аналізу та перевірки документів (інформації) про валютні операції, </w:t>
      </w:r>
      <w:r>
        <w:t xml:space="preserve">затвердженого постановою Правління Національного банку України від 02 січня 2019 року № 8 (зі змінами), слова “лістингових цінних </w:t>
      </w:r>
      <w:r>
        <w:lastRenderedPageBreak/>
        <w:t>паперів на фондових біржах” замінити словами “цінних паперів, допущених до торгів на регульованому фондовому ринку”</w:t>
      </w:r>
      <w:r>
        <w:rPr>
          <w:color w:val="000000"/>
        </w:rPr>
        <w:t>.</w:t>
      </w:r>
    </w:p>
    <w:p w:rsidR="00346E27" w:rsidRDefault="000C14F4">
      <w:pPr>
        <w:spacing w:before="240" w:after="240"/>
        <w:ind w:firstLine="709"/>
        <w:rPr>
          <w:color w:val="000000"/>
        </w:rPr>
      </w:pPr>
      <w:r>
        <w:rPr>
          <w:color w:val="000000"/>
        </w:rPr>
        <w:t>4. Визнати такою, що втратила чинність</w:t>
      </w:r>
      <w:r w:rsidR="002C42AB">
        <w:rPr>
          <w:color w:val="000000"/>
        </w:rPr>
        <w:t>,</w:t>
      </w:r>
      <w:r>
        <w:rPr>
          <w:color w:val="000000"/>
        </w:rPr>
        <w:t xml:space="preserve"> постанову Правління Національного банку України від 04 грудня 2014 року № 793 </w:t>
      </w:r>
      <w:r>
        <w:t>“Про затвердження Положення про порядок погодження Національним банком України типових (зразкових) форм деривативів”</w:t>
      </w:r>
      <w:r>
        <w:rPr>
          <w:color w:val="000000"/>
        </w:rPr>
        <w:t>.</w:t>
      </w:r>
    </w:p>
    <w:p w:rsidR="00346E27" w:rsidRDefault="000C14F4">
      <w:pPr>
        <w:spacing w:before="240" w:after="240"/>
        <w:ind w:firstLine="709"/>
        <w:rPr>
          <w:color w:val="000000"/>
        </w:rPr>
      </w:pPr>
      <w:r>
        <w:rPr>
          <w:color w:val="000000"/>
        </w:rPr>
        <w:t>5. Контроль за виконанням цієї постанови покласти на заступника Голови Національного банку України Юрія Гелетія.</w:t>
      </w:r>
    </w:p>
    <w:p w:rsidR="00346E27" w:rsidRDefault="000C14F4">
      <w:pPr>
        <w:spacing w:before="240"/>
        <w:ind w:firstLine="709"/>
        <w:rPr>
          <w:color w:val="000000"/>
        </w:rPr>
      </w:pPr>
      <w:r>
        <w:rPr>
          <w:color w:val="000000"/>
        </w:rPr>
        <w:t>6. Постанова набирає чинності з 01 липня 2021 року.</w:t>
      </w:r>
    </w:p>
    <w:p w:rsidR="00346E27" w:rsidRDefault="00346E27">
      <w:pPr>
        <w:ind w:firstLine="709"/>
        <w:rPr>
          <w:color w:val="000000"/>
        </w:rPr>
      </w:pP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346E27" w:rsidRDefault="00346E27">
      <w:pPr>
        <w:tabs>
          <w:tab w:val="left" w:pos="993"/>
        </w:tabs>
      </w:pPr>
    </w:p>
    <w:p w:rsidR="00211B3F" w:rsidRDefault="00211B3F">
      <w:pPr>
        <w:tabs>
          <w:tab w:val="left" w:pos="993"/>
        </w:tabs>
      </w:pPr>
    </w:p>
    <w:p w:rsidR="00346E27" w:rsidRDefault="000C14F4"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Кирило ШЕВЧЕНКО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:rsidR="00346E27" w:rsidRDefault="000C14F4">
      <w:pPr>
        <w:jc w:val="left"/>
      </w:pPr>
      <w:r>
        <w:t>Інд.</w:t>
      </w:r>
      <w:r>
        <w:rPr>
          <w:sz w:val="22"/>
          <w:szCs w:val="22"/>
        </w:rPr>
        <w:t xml:space="preserve"> </w:t>
      </w:r>
      <w:r>
        <w:t>40</w:t>
      </w:r>
    </w:p>
    <w:p w:rsidR="00E539E3" w:rsidRDefault="00E539E3">
      <w:pPr>
        <w:jc w:val="left"/>
      </w:pPr>
    </w:p>
    <w:p w:rsidR="00E539E3" w:rsidRDefault="00E539E3">
      <w:pPr>
        <w:jc w:val="left"/>
        <w:sectPr w:rsidR="00E539E3" w:rsidSect="00E539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1701" w:left="1701" w:header="283" w:footer="510" w:gutter="0"/>
          <w:pgNumType w:start="1"/>
          <w:cols w:space="720"/>
          <w:titlePg/>
          <w:docGrid w:linePitch="381"/>
        </w:sectPr>
      </w:pPr>
    </w:p>
    <w:p w:rsidR="00346E27" w:rsidRDefault="000C14F4">
      <w:pPr>
        <w:ind w:left="5529"/>
      </w:pPr>
      <w:r>
        <w:lastRenderedPageBreak/>
        <w:t xml:space="preserve">ЗАТВЕРДЖЕНО </w:t>
      </w:r>
    </w:p>
    <w:p w:rsidR="00346E27" w:rsidRDefault="000C14F4">
      <w:pPr>
        <w:ind w:left="5529"/>
      </w:pPr>
      <w:r>
        <w:t>Постанова Правління Національного банку України</w:t>
      </w:r>
    </w:p>
    <w:p w:rsidR="00346E27" w:rsidRDefault="0034413E">
      <w:pPr>
        <w:ind w:left="5529"/>
      </w:pPr>
      <w:r>
        <w:t>29</w:t>
      </w:r>
      <w:r w:rsidR="007C2B2F">
        <w:t xml:space="preserve"> червня 2021 року № </w:t>
      </w:r>
      <w:r>
        <w:t>63</w:t>
      </w:r>
    </w:p>
    <w:p w:rsidR="002C42AB" w:rsidRDefault="002C42AB">
      <w:pPr>
        <w:ind w:left="5529"/>
      </w:pPr>
    </w:p>
    <w:p w:rsidR="002C42AB" w:rsidRDefault="002C42AB">
      <w:pPr>
        <w:ind w:left="5529"/>
      </w:pPr>
    </w:p>
    <w:p w:rsidR="002C42AB" w:rsidRDefault="002C42AB">
      <w:pPr>
        <w:ind w:left="5529"/>
      </w:pPr>
    </w:p>
    <w:p w:rsidR="00346E27" w:rsidRDefault="00346E27">
      <w:pPr>
        <w:ind w:firstLine="709"/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ind w:left="300" w:right="300"/>
        <w:jc w:val="center"/>
        <w:rPr>
          <w:color w:val="000000"/>
        </w:rPr>
      </w:pPr>
      <w:r>
        <w:rPr>
          <w:color w:val="000000"/>
        </w:rPr>
        <w:t>Положення про порядок погодження Національним банком України специфікацій деривативних контрактів грошового ринку</w:t>
      </w: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2" w:name="30j0zll" w:colFirst="0" w:colLast="0"/>
      <w:bookmarkEnd w:id="2"/>
      <w:r>
        <w:rPr>
          <w:color w:val="000000"/>
        </w:rPr>
        <w:t>1. Це Положення розроблено відповідно до Законів України “Про Національний банк України”, “Про ринки капіталу та організовані товарні ринки”.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</w:rPr>
      </w:pPr>
      <w:bookmarkStart w:id="3" w:name="1fob9te" w:colFirst="0" w:colLast="0"/>
      <w:bookmarkEnd w:id="3"/>
      <w:r>
        <w:rPr>
          <w:color w:val="000000"/>
        </w:rPr>
        <w:t>2. Оператор організованого ринку зобов’язаний д</w:t>
      </w:r>
      <w:r w:rsidR="002C42AB">
        <w:rPr>
          <w:color w:val="000000"/>
        </w:rPr>
        <w:t>о</w:t>
      </w:r>
      <w:r>
        <w:rPr>
          <w:color w:val="000000"/>
        </w:rPr>
        <w:t xml:space="preserve"> початку укладання деривативних контрактів грошового ринку (далі – деривативні контракти), базовим активом/показником яких є </w:t>
      </w:r>
      <w:r>
        <w:rPr>
          <w:color w:val="000000"/>
          <w:highlight w:val="white"/>
        </w:rPr>
        <w:t>валюта України, іноземна валюта, банківські метали, інше майно, що визначається базовим активом у нормативно-правових актах Національного банку України</w:t>
      </w:r>
      <w:r w:rsidR="002C42AB">
        <w:rPr>
          <w:color w:val="000000"/>
          <w:highlight w:val="white"/>
        </w:rPr>
        <w:t xml:space="preserve"> (далі – Національний банк)</w:t>
      </w:r>
      <w:r>
        <w:rPr>
          <w:color w:val="000000"/>
          <w:highlight w:val="white"/>
        </w:rPr>
        <w:t xml:space="preserve">, курс іноземної валюти до гривні (іншої іноземної валюти), валютний індекс (курси кількох валют), ціна на банківські метали, процентна ставка (процентний індекс), інші показники, що визнаються базовими показниками </w:t>
      </w:r>
      <w:r w:rsidR="002C42AB">
        <w:rPr>
          <w:color w:val="000000"/>
          <w:highlight w:val="white"/>
        </w:rPr>
        <w:t xml:space="preserve">в </w:t>
      </w:r>
      <w:r>
        <w:rPr>
          <w:color w:val="000000"/>
          <w:highlight w:val="white"/>
        </w:rPr>
        <w:t>нормативно-правових актах Національного банку</w:t>
      </w:r>
      <w:r>
        <w:rPr>
          <w:color w:val="000000"/>
        </w:rPr>
        <w:t>, якщо таке укладання деривативних контрактів відповідно до вимог Закону України “Про ринки капіталу та організовані товарні ринки” (далі – Закон) здійснюється згідно з</w:t>
      </w:r>
      <w:r w:rsidR="002C42AB">
        <w:rPr>
          <w:color w:val="000000"/>
        </w:rPr>
        <w:t>і</w:t>
      </w:r>
      <w:r>
        <w:rPr>
          <w:color w:val="000000"/>
        </w:rPr>
        <w:t xml:space="preserve"> специфікаціями, попередньо погодити з Національним банком специфікації деривативних контрактів </w:t>
      </w:r>
      <w:r>
        <w:rPr>
          <w:color w:val="000000"/>
          <w:highlight w:val="white"/>
        </w:rPr>
        <w:t xml:space="preserve">для кожного </w:t>
      </w:r>
      <w:r>
        <w:rPr>
          <w:color w:val="000000"/>
        </w:rPr>
        <w:t xml:space="preserve">з </w:t>
      </w:r>
      <w:r>
        <w:rPr>
          <w:color w:val="000000"/>
          <w:highlight w:val="white"/>
        </w:rPr>
        <w:t>деривативних контрактів, які укладаються на відповідному ринку деривативних контрактів</w:t>
      </w:r>
      <w:r w:rsidR="00926F1B">
        <w:rPr>
          <w:color w:val="000000"/>
        </w:rPr>
        <w:t>.</w:t>
      </w:r>
      <w:r>
        <w:rPr>
          <w:color w:val="000000"/>
        </w:rPr>
        <w:t xml:space="preserve"> 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4" w:name="3znysh7" w:colFirst="0" w:colLast="0"/>
      <w:bookmarkEnd w:id="4"/>
      <w:r>
        <w:rPr>
          <w:color w:val="000000"/>
        </w:rPr>
        <w:t>3. Оператор організованого ринку для погодження специфікацій деривативних контрактів подає до Національного банку такий пакет документів: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5" w:name="2et92p0" w:colFirst="0" w:colLast="0"/>
      <w:bookmarkEnd w:id="5"/>
      <w:r>
        <w:rPr>
          <w:color w:val="000000"/>
        </w:rPr>
        <w:t>1) правила оператора організованого ринку щодо деривативних контрактів;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6" w:name="tyjcwt" w:colFirst="0" w:colLast="0"/>
      <w:bookmarkEnd w:id="6"/>
      <w:r>
        <w:rPr>
          <w:color w:val="000000"/>
        </w:rPr>
        <w:t>2) специфікації деривативних контрактів.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7" w:name="3dy6vkm" w:colFirst="0" w:colLast="0"/>
      <w:bookmarkEnd w:id="7"/>
      <w:r>
        <w:rPr>
          <w:color w:val="000000"/>
        </w:rPr>
        <w:t xml:space="preserve">4. Пакет документів, зазначений </w:t>
      </w:r>
      <w:r w:rsidR="002C42AB">
        <w:rPr>
          <w:color w:val="000000"/>
        </w:rPr>
        <w:t>в</w:t>
      </w:r>
      <w:r>
        <w:rPr>
          <w:color w:val="000000"/>
        </w:rPr>
        <w:t xml:space="preserve"> пункті 3 цього Положення (далі ‒ пакет документів), </w:t>
      </w:r>
      <w:r w:rsidR="002C42AB">
        <w:rPr>
          <w:color w:val="000000"/>
        </w:rPr>
        <w:t>повинен</w:t>
      </w:r>
      <w:r>
        <w:rPr>
          <w:color w:val="000000"/>
        </w:rPr>
        <w:t xml:space="preserve"> засвідч</w:t>
      </w:r>
      <w:r w:rsidR="002C42AB">
        <w:rPr>
          <w:color w:val="000000"/>
        </w:rPr>
        <w:t>уватися</w:t>
      </w:r>
      <w:r>
        <w:rPr>
          <w:color w:val="000000"/>
        </w:rPr>
        <w:t xml:space="preserve"> підписом керівника оператора організованого ринку. Документи, складені іноземною мовою, </w:t>
      </w:r>
      <w:r w:rsidR="002C42AB">
        <w:rPr>
          <w:color w:val="000000"/>
        </w:rPr>
        <w:t xml:space="preserve">повинні </w:t>
      </w:r>
      <w:r>
        <w:rPr>
          <w:color w:val="000000"/>
        </w:rPr>
        <w:t xml:space="preserve">подаватися до Національного банку разом із їх перекладом на українську мову, засвідченим підписом керівника оператора організованого ринку. 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8" w:name="1t3h5sf" w:colFirst="0" w:colLast="0"/>
      <w:bookmarkEnd w:id="8"/>
      <w:r>
        <w:rPr>
          <w:color w:val="000000"/>
        </w:rPr>
        <w:t>5. Національний банк розгляд</w:t>
      </w:r>
      <w:r w:rsidR="002C42AB">
        <w:rPr>
          <w:color w:val="000000"/>
        </w:rPr>
        <w:t>ає</w:t>
      </w:r>
      <w:r>
        <w:rPr>
          <w:color w:val="000000"/>
        </w:rPr>
        <w:t xml:space="preserve"> пакет документів, подан</w:t>
      </w:r>
      <w:r w:rsidR="002C42AB">
        <w:rPr>
          <w:color w:val="000000"/>
        </w:rPr>
        <w:t>ий</w:t>
      </w:r>
      <w:r>
        <w:rPr>
          <w:color w:val="000000"/>
        </w:rPr>
        <w:t xml:space="preserve"> оператором організованого ринку, протягом 30 календарних днів із дня його надходження.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9" w:name="4d34og8" w:colFirst="0" w:colLast="0"/>
      <w:bookmarkEnd w:id="9"/>
      <w:r>
        <w:rPr>
          <w:color w:val="000000"/>
        </w:rPr>
        <w:t xml:space="preserve">6. Національний банк має право вимагати від оператора організованого ринку виправлення неточностей </w:t>
      </w:r>
      <w:r w:rsidR="002C42AB">
        <w:rPr>
          <w:color w:val="000000"/>
        </w:rPr>
        <w:t xml:space="preserve">в </w:t>
      </w:r>
      <w:r>
        <w:rPr>
          <w:color w:val="000000"/>
        </w:rPr>
        <w:t>поданому пакеті документів.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0" w:name="2s8eyo1" w:colFirst="0" w:colLast="0"/>
      <w:bookmarkEnd w:id="10"/>
      <w:r>
        <w:rPr>
          <w:color w:val="000000"/>
        </w:rPr>
        <w:t>7. Погодження Національним банком специфікації деривативного контракту надається за умови відповідності</w:t>
      </w:r>
      <w:r>
        <w:rPr>
          <w:color w:val="000000"/>
          <w:highlight w:val="white"/>
        </w:rPr>
        <w:t xml:space="preserve"> валютних операцій</w:t>
      </w:r>
      <w:r>
        <w:rPr>
          <w:color w:val="000000"/>
        </w:rPr>
        <w:t xml:space="preserve">/операцій з валютними цінностями, </w:t>
      </w:r>
      <w:r>
        <w:rPr>
          <w:color w:val="000000"/>
          <w:highlight w:val="white"/>
        </w:rPr>
        <w:t>що здійснюються/можуть здійснюватися</w:t>
      </w:r>
      <w:r>
        <w:rPr>
          <w:color w:val="000000"/>
        </w:rPr>
        <w:t xml:space="preserve"> за таким деривативним контрактом наявним на дату погодження Національним банком заходам захисту, запровадженим Національним банком відповідно до  Закону України “Про валюту і валютні операції” (далі </w:t>
      </w:r>
      <w:r w:rsidR="002C42AB">
        <w:rPr>
          <w:color w:val="000000"/>
        </w:rPr>
        <w:t>–</w:t>
      </w:r>
      <w:r>
        <w:rPr>
          <w:color w:val="000000"/>
        </w:rPr>
        <w:t xml:space="preserve"> заходи захисту).</w:t>
      </w: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Національний банк погоджує специфікацію деривативного контракту шляхом унесення відповідного запису до Книги погодження специфікацій деривативних контрактів і в письмовій формі повідомляє оператора організованого ринку та Національну комісію з цінних паперів та фондового ринку про прийняте рішення протягом строку, визначеного в пункті 5 цього Положення. Лист Національного банку про погодження специфікації деривативного контракту  надсилається </w:t>
      </w:r>
      <w:r>
        <w:rPr>
          <w:color w:val="000000"/>
          <w:highlight w:val="white"/>
        </w:rPr>
        <w:t>поштою рекомендованим листом за адресою місцезнаходження оператора організованого ринку або надається безпосередньо керівникові чи представникові оператора організованого ринку на підставі належним чином оформленої довіреності.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1" w:name="17dp8vu" w:colFirst="0" w:colLast="0"/>
      <w:bookmarkEnd w:id="11"/>
      <w:r>
        <w:rPr>
          <w:color w:val="000000"/>
        </w:rPr>
        <w:t>8. Національний банк має право прийняти рішення про відмову оператору організованого ринку в погодженні специфікації деривативного контракту в разі: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2" w:name="3rdcrjn" w:colFirst="0" w:colLast="0"/>
      <w:bookmarkEnd w:id="12"/>
      <w:r>
        <w:rPr>
          <w:color w:val="000000"/>
        </w:rPr>
        <w:t>1) подання оператором організованого ринку неповного пакета документів;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3" w:name="26in1rg" w:colFirst="0" w:colLast="0"/>
      <w:bookmarkEnd w:id="13"/>
      <w:r>
        <w:rPr>
          <w:color w:val="000000"/>
        </w:rPr>
        <w:t>2) невідповідності поданого оператором організованого ринку пакета документів вимогам Закону, цього Положення;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4" w:name="lnxbz9" w:colFirst="0" w:colLast="0"/>
      <w:bookmarkEnd w:id="14"/>
      <w:r>
        <w:rPr>
          <w:color w:val="000000"/>
        </w:rPr>
        <w:t>3) надання оператором організованого ринку недостовірної інформації;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346E27" w:rsidRPr="00E34035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strike/>
          <w:color w:val="000000" w:themeColor="text1"/>
        </w:rPr>
      </w:pPr>
      <w:r w:rsidRPr="00E34035">
        <w:rPr>
          <w:color w:val="000000" w:themeColor="text1"/>
        </w:rPr>
        <w:t>4) невідповідності операцій, що здійснюватимуться за деривативним контрактом, специфікацію якого надано на погодження Національному банку, Закону України “Про валюту і валютні опер</w:t>
      </w:r>
      <w:r w:rsidR="00926F1B" w:rsidRPr="00E34035">
        <w:rPr>
          <w:color w:val="000000" w:themeColor="text1"/>
        </w:rPr>
        <w:t>ації”,  нормативно-правовим акт</w:t>
      </w:r>
      <w:r w:rsidR="002C42AB">
        <w:rPr>
          <w:color w:val="000000" w:themeColor="text1"/>
        </w:rPr>
        <w:t>ам</w:t>
      </w:r>
      <w:r w:rsidRPr="00E34035">
        <w:rPr>
          <w:color w:val="000000" w:themeColor="text1"/>
        </w:rPr>
        <w:t xml:space="preserve"> Національного банку з питань валютного регулювання/порядку здійснення операцій з валютними цінностями, уключаючи невідповідність таких операцій заходам захисту</w:t>
      </w:r>
      <w:bookmarkStart w:id="15" w:name="1ksv4uv" w:colFirst="0" w:colLast="0"/>
      <w:bookmarkStart w:id="16" w:name="35nkun2" w:colFirst="0" w:colLast="0"/>
      <w:bookmarkEnd w:id="15"/>
      <w:bookmarkEnd w:id="16"/>
      <w:r w:rsidRPr="00E34035">
        <w:rPr>
          <w:color w:val="000000" w:themeColor="text1"/>
        </w:rPr>
        <w:t>.</w:t>
      </w:r>
    </w:p>
    <w:p w:rsidR="002C42AB" w:rsidRDefault="002C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7" w:name="2jxsxqh" w:colFirst="0" w:colLast="0"/>
      <w:bookmarkStart w:id="18" w:name="44sinio" w:colFirst="0" w:colLast="0"/>
      <w:bookmarkEnd w:id="17"/>
      <w:bookmarkEnd w:id="18"/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strike/>
          <w:color w:val="000000"/>
        </w:rPr>
      </w:pPr>
      <w:r>
        <w:rPr>
          <w:color w:val="000000"/>
        </w:rPr>
        <w:t>9. Національний банк повідомляє в письмовій формі оператора організованого ринку про відмову в погодженні специфікації деривативного контракту із зазначенням підстав відмови протягом строку, установленого в </w:t>
      </w:r>
      <w:hyperlink r:id="rId15" w:anchor="n18">
        <w:r>
          <w:rPr>
            <w:color w:val="000000"/>
          </w:rPr>
          <w:t>пункті 5</w:t>
        </w:r>
      </w:hyperlink>
      <w:r>
        <w:rPr>
          <w:color w:val="000000"/>
        </w:rPr>
        <w:t xml:space="preserve"> цього Положення. Лист Національного банку про  відмову в погодженні специфікації деривативного контракту надсилається </w:t>
      </w:r>
      <w:r>
        <w:rPr>
          <w:color w:val="000000"/>
          <w:highlight w:val="white"/>
        </w:rPr>
        <w:t>поштою рекомендованим листом за адресою місцезнаходження оператора організованого ринку або надається безпосередньо керівникові чи представникові оператора організованого ринку на підставі належним чином оформленої довіреності.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bookmarkStart w:id="19" w:name="z337ya" w:colFirst="0" w:colLast="0"/>
      <w:bookmarkEnd w:id="19"/>
      <w:r>
        <w:rPr>
          <w:color w:val="000000"/>
        </w:rPr>
        <w:t>10. Оператор організованого ринку має право повторно подати до Національного банку пакет документів для погодження специфікації деривативного контракту за умови усунення підстав, за яких оператору організованого ринку було відмовлено в погодженні цієї специфікації.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</w:rPr>
      </w:pP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highlight w:val="white"/>
        </w:rPr>
      </w:pPr>
      <w:bookmarkStart w:id="20" w:name="3j2qqm3" w:colFirst="0" w:colLast="0"/>
      <w:bookmarkEnd w:id="20"/>
      <w:r>
        <w:rPr>
          <w:color w:val="000000"/>
        </w:rPr>
        <w:t>11. </w:t>
      </w:r>
      <w:r>
        <w:rPr>
          <w:color w:val="000000"/>
          <w:highlight w:val="white"/>
        </w:rPr>
        <w:t xml:space="preserve">Національний банк надсилає оператору організованого ринку та </w:t>
      </w:r>
      <w:r>
        <w:rPr>
          <w:color w:val="000000"/>
        </w:rPr>
        <w:t>Національній комісії з цінних паперів та фондового ринку</w:t>
      </w:r>
      <w:r>
        <w:rPr>
          <w:color w:val="000000"/>
          <w:highlight w:val="white"/>
        </w:rPr>
        <w:t xml:space="preserve"> повідомлення про подальшу неможливість здійснення </w:t>
      </w:r>
      <w:r w:rsidR="00346885">
        <w:rPr>
          <w:color w:val="000000"/>
          <w:highlight w:val="white"/>
        </w:rPr>
        <w:t xml:space="preserve">деяких </w:t>
      </w:r>
      <w:r>
        <w:rPr>
          <w:color w:val="000000"/>
          <w:highlight w:val="white"/>
        </w:rPr>
        <w:t xml:space="preserve">чи всіх валютних операцій/операцій з валютними цінностями (далі – </w:t>
      </w:r>
      <w:r w:rsidR="00346885">
        <w:rPr>
          <w:color w:val="000000"/>
          <w:highlight w:val="white"/>
        </w:rPr>
        <w:t>п</w:t>
      </w:r>
      <w:r>
        <w:rPr>
          <w:color w:val="000000"/>
          <w:highlight w:val="white"/>
        </w:rPr>
        <w:t>овідомлення)</w:t>
      </w:r>
      <w:r w:rsidR="00346885">
        <w:rPr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 якщо після </w:t>
      </w:r>
      <w:r>
        <w:rPr>
          <w:color w:val="000000"/>
        </w:rPr>
        <w:t>погодження Національним банком специфікації деривативного контракту такого оператора організованого ринку Національни</w:t>
      </w:r>
      <w:r w:rsidR="00346885">
        <w:rPr>
          <w:color w:val="000000"/>
        </w:rPr>
        <w:t>й</w:t>
      </w:r>
      <w:r>
        <w:rPr>
          <w:color w:val="000000"/>
        </w:rPr>
        <w:t xml:space="preserve"> банк</w:t>
      </w:r>
      <w:r>
        <w:rPr>
          <w:color w:val="000000"/>
          <w:highlight w:val="white"/>
        </w:rPr>
        <w:t xml:space="preserve"> відповідно до </w:t>
      </w:r>
      <w:r>
        <w:rPr>
          <w:color w:val="000000"/>
        </w:rPr>
        <w:t>Закону України “Про валюту і валютні операції” запровад</w:t>
      </w:r>
      <w:r w:rsidR="00346885">
        <w:rPr>
          <w:color w:val="000000"/>
        </w:rPr>
        <w:t>ив</w:t>
      </w:r>
      <w:r>
        <w:rPr>
          <w:color w:val="000000"/>
        </w:rPr>
        <w:t xml:space="preserve"> нові заходи захисту, </w:t>
      </w:r>
      <w:r w:rsidR="00346885">
        <w:rPr>
          <w:color w:val="000000"/>
        </w:rPr>
        <w:t>у</w:t>
      </w:r>
      <w:r>
        <w:rPr>
          <w:color w:val="000000"/>
        </w:rPr>
        <w:t xml:space="preserve">наслідок чого встановлені </w:t>
      </w:r>
      <w:r>
        <w:rPr>
          <w:color w:val="000000"/>
          <w:highlight w:val="white"/>
        </w:rPr>
        <w:t xml:space="preserve">обмеження та/або тимчасова заборона на проведення валютних операцій/операцій з валютними цінностями, що здійснюються/можуть здійснюватися  за деривативним контрактом згідно з відповідною погодженою Національним банком специфікацією </w:t>
      </w:r>
      <w:r>
        <w:rPr>
          <w:color w:val="000000"/>
        </w:rPr>
        <w:t>деривативного контракту оператора організованого ринку.</w:t>
      </w:r>
      <w:bookmarkStart w:id="21" w:name="1y810tw" w:colFirst="0" w:colLast="0"/>
      <w:bookmarkEnd w:id="21"/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highlight w:val="white"/>
        </w:rPr>
      </w:pPr>
      <w:r>
        <w:rPr>
          <w:color w:val="000000"/>
        </w:rPr>
        <w:t xml:space="preserve">Повідомлення надсилається </w:t>
      </w:r>
      <w:r>
        <w:rPr>
          <w:color w:val="000000"/>
          <w:highlight w:val="white"/>
        </w:rPr>
        <w:t>поштою рекомендованим листом за адресою місцезнаходження оператора організованого ринку або надається безпосередньо керівникові чи представникові оператора організованого ринку на підставі належним чином оформленої довіреності</w:t>
      </w:r>
      <w:r w:rsidR="00926F1B">
        <w:rPr>
          <w:color w:val="000000"/>
          <w:highlight w:val="white"/>
        </w:rPr>
        <w:t>.</w:t>
      </w:r>
    </w:p>
    <w:p w:rsidR="00926F1B" w:rsidRDefault="00926F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highlight w:val="white"/>
        </w:rPr>
      </w:pPr>
    </w:p>
    <w:p w:rsidR="00E34035" w:rsidRPr="00E34035" w:rsidRDefault="005A0545" w:rsidP="00E340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Calibri" w:hAnsi="Calibri" w:cs="Calibri"/>
          <w:color w:val="212121"/>
          <w:sz w:val="19"/>
          <w:szCs w:val="19"/>
          <w:lang w:eastAsia="ru-RU"/>
        </w:rPr>
      </w:pPr>
      <w:r w:rsidRPr="006D2EF7">
        <w:t>12.</w:t>
      </w:r>
      <w:r w:rsidR="00346885">
        <w:t xml:space="preserve"> </w:t>
      </w:r>
      <w:r w:rsidRPr="006D2EF7">
        <w:t xml:space="preserve">Оператор організованого ринку після отримання </w:t>
      </w:r>
      <w:r w:rsidR="00346885">
        <w:t>п</w:t>
      </w:r>
      <w:r w:rsidRPr="006D2EF7">
        <w:t>овідомлення зобов’язаний забезпечити припинення укладання нових деривативних контрактів за відповідною специфікацією та може забезпечувати укладання нових деривативних контрактів лише з метою закриття відповідних відкритих позицій, якщо інше не передбачено заходами захисту.</w:t>
      </w:r>
      <w:r w:rsidR="00E34035" w:rsidRPr="00E34035">
        <w:rPr>
          <w:rFonts w:ascii="Calibri" w:hAnsi="Calibri" w:cs="Calibri"/>
          <w:color w:val="000000"/>
          <w:sz w:val="19"/>
          <w:szCs w:val="19"/>
          <w:lang w:val="ru-RU" w:eastAsia="ru-RU"/>
        </w:rPr>
        <w:t> </w:t>
      </w:r>
    </w:p>
    <w:p w:rsidR="00E34035" w:rsidRPr="00E34035" w:rsidRDefault="00E34035">
      <w:pPr>
        <w:jc w:val="left"/>
        <w:sectPr w:rsidR="00E34035" w:rsidRPr="00E34035" w:rsidSect="002C42AB">
          <w:headerReference w:type="first" r:id="rId16"/>
          <w:pgSz w:w="11906" w:h="16838"/>
          <w:pgMar w:top="567" w:right="567" w:bottom="1701" w:left="1701" w:header="283" w:footer="709" w:gutter="0"/>
          <w:pgNumType w:start="1"/>
          <w:cols w:space="720"/>
          <w:titlePg/>
          <w:docGrid w:linePitch="381"/>
        </w:sectPr>
      </w:pPr>
    </w:p>
    <w:p w:rsidR="00346E27" w:rsidRDefault="000C14F4">
      <w:pPr>
        <w:ind w:left="5529"/>
      </w:pPr>
      <w:r>
        <w:t xml:space="preserve">ЗАТВЕРДЖЕНО </w:t>
      </w:r>
    </w:p>
    <w:p w:rsidR="00346E27" w:rsidRDefault="000C14F4">
      <w:pPr>
        <w:ind w:left="5529"/>
      </w:pPr>
      <w:r>
        <w:t>Постанова Правління Національного банку України</w:t>
      </w:r>
    </w:p>
    <w:p w:rsidR="007C2B2F" w:rsidRDefault="0034413E" w:rsidP="007C2B2F">
      <w:pPr>
        <w:ind w:left="5529"/>
      </w:pPr>
      <w:r>
        <w:t>29</w:t>
      </w:r>
      <w:r w:rsidR="007C2B2F">
        <w:t xml:space="preserve"> червня 2021 року № </w:t>
      </w:r>
      <w:r>
        <w:t>63</w:t>
      </w:r>
    </w:p>
    <w:p w:rsidR="00346E27" w:rsidRDefault="00346E27">
      <w:pPr>
        <w:ind w:firstLine="709"/>
      </w:pPr>
    </w:p>
    <w:p w:rsidR="00346E27" w:rsidRDefault="000C14F4">
      <w:pPr>
        <w:ind w:firstLine="709"/>
        <w:jc w:val="center"/>
      </w:pPr>
      <w:r>
        <w:t>Зміни до Положення про структуру валютного ринку України, умови та порядок торгівлі іноземною валютою та банківськими металами</w:t>
      </w:r>
    </w:p>
    <w:p w:rsidR="00346E27" w:rsidRDefault="000C14F4">
      <w:pPr>
        <w:ind w:firstLine="709"/>
        <w:jc w:val="center"/>
      </w:pPr>
      <w:r>
        <w:t>на валютному ринку України</w:t>
      </w:r>
    </w:p>
    <w:p w:rsidR="00346E27" w:rsidRDefault="00346E27">
      <w:pPr>
        <w:shd w:val="clear" w:color="auto" w:fill="FFFFFF"/>
        <w:ind w:firstLine="709"/>
      </w:pPr>
    </w:p>
    <w:p w:rsidR="00346E27" w:rsidRDefault="000C14F4">
      <w:pPr>
        <w:shd w:val="clear" w:color="auto" w:fill="FFFFFF"/>
        <w:ind w:left="709"/>
      </w:pPr>
      <w:r>
        <w:t>1. У розділі I:</w:t>
      </w:r>
    </w:p>
    <w:p w:rsidR="00346E27" w:rsidRDefault="00346E27">
      <w:pPr>
        <w:jc w:val="left"/>
      </w:pPr>
    </w:p>
    <w:p w:rsidR="00346E27" w:rsidRDefault="000C14F4">
      <w:pPr>
        <w:jc w:val="left"/>
      </w:pPr>
      <w:r>
        <w:tab/>
        <w:t>1) у пункті 2:</w:t>
      </w:r>
    </w:p>
    <w:p w:rsidR="00346E27" w:rsidRDefault="000C14F4">
      <w:r>
        <w:tab/>
        <w:t>у підпункті 1 слово “договором” замінити словами “двостороннім деривативним контрактом грошового ринку”;</w:t>
      </w:r>
    </w:p>
    <w:p w:rsidR="00346E27" w:rsidRDefault="000C14F4">
      <w:r>
        <w:tab/>
        <w:t>підпункт 2 після слова “договором” доповнити словом “(контрактом)”;</w:t>
      </w:r>
    </w:p>
    <w:p w:rsidR="00346E27" w:rsidRDefault="000C14F4">
      <w:r>
        <w:tab/>
        <w:t>у підпункті 18:</w:t>
      </w:r>
    </w:p>
    <w:p w:rsidR="00346E27" w:rsidRDefault="000C14F4">
      <w:r>
        <w:tab/>
        <w:t>у першому реченні слова “форвардний договір – двосторонній договір” замінити словами “форвардний договір (контракт) – двосторонній деривативний контракт грошового ринку”;</w:t>
      </w:r>
    </w:p>
    <w:p w:rsidR="00346E27" w:rsidRDefault="000C14F4" w:rsidP="00E34035">
      <w:r>
        <w:tab/>
        <w:t>друге речення після слова “договору” доповнити словом “(контракту)”</w:t>
      </w:r>
      <w:r w:rsidR="00596F93">
        <w:t>;</w:t>
      </w:r>
      <w:r>
        <w:tab/>
      </w:r>
    </w:p>
    <w:p w:rsidR="000E70C7" w:rsidRDefault="000E70C7" w:rsidP="00E34035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tab/>
      </w:r>
      <w:r>
        <w:rPr>
          <w:color w:val="000000"/>
        </w:rPr>
        <w:t>2) у пункті 3 слова “</w:t>
      </w:r>
      <w:r>
        <w:rPr>
          <w:color w:val="000000"/>
          <w:highlight w:val="white"/>
        </w:rPr>
        <w:t>з похідними фінансовими інструментами (деривативами), базовим активом яких є іноземна валюта та банківські метали</w:t>
      </w:r>
      <w:r>
        <w:rPr>
          <w:color w:val="000000"/>
        </w:rPr>
        <w:t>” замінити словами “за деривативними контрактами грошового ринку”</w:t>
      </w:r>
      <w:r w:rsidR="00E34035">
        <w:rPr>
          <w:color w:val="000000"/>
        </w:rPr>
        <w:t>;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highlight w:val="white"/>
        </w:rPr>
      </w:pPr>
    </w:p>
    <w:p w:rsidR="00E34035" w:rsidRPr="006D2EF7" w:rsidRDefault="005A0545" w:rsidP="00E34035">
      <w:pPr>
        <w:ind w:firstLine="708"/>
      </w:pPr>
      <w:r w:rsidRPr="006D2EF7">
        <w:rPr>
          <w:color w:val="000000"/>
        </w:rPr>
        <w:t>3) розділ після пункту 3 доповнити новим пунктом 3</w:t>
      </w:r>
      <w:r w:rsidRPr="006D2EF7">
        <w:rPr>
          <w:color w:val="000000"/>
          <w:vertAlign w:val="superscript"/>
        </w:rPr>
        <w:t>1</w:t>
      </w:r>
      <w:r w:rsidRPr="006D2EF7">
        <w:rPr>
          <w:color w:val="000000"/>
        </w:rPr>
        <w:t xml:space="preserve"> </w:t>
      </w:r>
      <w:r w:rsidRPr="006D2EF7">
        <w:t>такого змісту:</w:t>
      </w:r>
    </w:p>
    <w:p w:rsidR="00346E27" w:rsidRPr="00E34035" w:rsidRDefault="005A0545" w:rsidP="00E34035">
      <w:pPr>
        <w:ind w:firstLine="708"/>
      </w:pPr>
      <w:r w:rsidRPr="006D2EF7">
        <w:rPr>
          <w:color w:val="000000"/>
        </w:rPr>
        <w:t>“3</w:t>
      </w:r>
      <w:r w:rsidRPr="006D2EF7">
        <w:rPr>
          <w:color w:val="000000"/>
          <w:vertAlign w:val="superscript"/>
        </w:rPr>
        <w:t>1</w:t>
      </w:r>
      <w:r w:rsidRPr="006D2EF7">
        <w:rPr>
          <w:color w:val="000000"/>
        </w:rPr>
        <w:t xml:space="preserve">. Валютні операції за контрактами на різницю цін, базовим показником яких є курс іноземної валюти до гривні або іншої іноземної валюти, здійснюються згідно з вимогами, </w:t>
      </w:r>
      <w:r w:rsidR="00596F93">
        <w:rPr>
          <w:color w:val="000000"/>
        </w:rPr>
        <w:t>у</w:t>
      </w:r>
      <w:r w:rsidRPr="006D2EF7">
        <w:rPr>
          <w:color w:val="000000"/>
        </w:rPr>
        <w:t xml:space="preserve">становленими нормативно-правовими актами </w:t>
      </w:r>
      <w:r w:rsidR="00596F93">
        <w:rPr>
          <w:color w:val="000000"/>
        </w:rPr>
        <w:t xml:space="preserve">Національного банку </w:t>
      </w:r>
      <w:r w:rsidRPr="006D2EF7">
        <w:rPr>
          <w:color w:val="000000"/>
        </w:rPr>
        <w:t>з питань валютного регулювання до здійснення валютних операцій за розрахунковими форвардними договорами (контрактами) з купівлі, продажу або обміну іноземної валюти.”.</w:t>
      </w:r>
    </w:p>
    <w:p w:rsidR="00346E27" w:rsidRDefault="00346E27">
      <w:pPr>
        <w:jc w:val="left"/>
      </w:pPr>
    </w:p>
    <w:p w:rsidR="00346E27" w:rsidRDefault="00346E27">
      <w:pPr>
        <w:jc w:val="left"/>
      </w:pPr>
    </w:p>
    <w:p w:rsidR="00346E27" w:rsidRDefault="00346E27">
      <w:pPr>
        <w:jc w:val="left"/>
      </w:pPr>
    </w:p>
    <w:p w:rsidR="00346E27" w:rsidRDefault="00346E27">
      <w:pPr>
        <w:jc w:val="left"/>
        <w:sectPr w:rsidR="00346E27" w:rsidSect="00596F93">
          <w:pgSz w:w="11906" w:h="16838"/>
          <w:pgMar w:top="567" w:right="567" w:bottom="1701" w:left="1701" w:header="709" w:footer="709" w:gutter="0"/>
          <w:pgNumType w:start="1"/>
          <w:cols w:space="720"/>
          <w:titlePg/>
          <w:docGrid w:linePitch="381"/>
        </w:sectPr>
      </w:pPr>
    </w:p>
    <w:p w:rsidR="00346E27" w:rsidRDefault="000C14F4">
      <w:pPr>
        <w:ind w:left="5529"/>
      </w:pPr>
      <w:r>
        <w:t xml:space="preserve">ЗАТВЕРДЖЕНО </w:t>
      </w:r>
    </w:p>
    <w:p w:rsidR="00346E27" w:rsidRDefault="000C14F4">
      <w:pPr>
        <w:ind w:left="5529"/>
      </w:pPr>
      <w:r>
        <w:t>Постанова Правління Національного банку України</w:t>
      </w:r>
    </w:p>
    <w:p w:rsidR="00C61675" w:rsidRDefault="0034413E" w:rsidP="00C61675">
      <w:pPr>
        <w:ind w:left="5529"/>
      </w:pPr>
      <w:r>
        <w:t>29</w:t>
      </w:r>
      <w:r w:rsidR="00C61675">
        <w:t xml:space="preserve"> червня 2021 року № </w:t>
      </w:r>
      <w:r>
        <w:t>63</w:t>
      </w:r>
    </w:p>
    <w:p w:rsidR="00346E27" w:rsidRDefault="00346E27">
      <w:pPr>
        <w:ind w:firstLine="709"/>
      </w:pPr>
    </w:p>
    <w:p w:rsidR="00346E27" w:rsidRDefault="000C14F4">
      <w:pPr>
        <w:ind w:firstLine="709"/>
        <w:jc w:val="center"/>
        <w:rPr>
          <w:color w:val="000000"/>
        </w:rPr>
      </w:pPr>
      <w:r>
        <w:rPr>
          <w:color w:val="000000"/>
        </w:rPr>
        <w:t>Зміни до Положення про заходи захисту та визначення порядку здійснення окремих операцій в іноземній валюті</w:t>
      </w:r>
    </w:p>
    <w:p w:rsidR="00346E27" w:rsidRDefault="00346E2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346E27" w:rsidRDefault="000C14F4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>1. Розділ І</w:t>
      </w:r>
      <w:r w:rsidR="00832FD0">
        <w:rPr>
          <w:color w:val="000000"/>
          <w:lang w:val="en-US"/>
        </w:rPr>
        <w:t>V</w:t>
      </w:r>
      <w:r>
        <w:rPr>
          <w:color w:val="000000"/>
        </w:rPr>
        <w:t xml:space="preserve"> після пункту 34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доповнити новим пунктом 34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“34</w:t>
      </w:r>
      <w:r>
        <w:rPr>
          <w:color w:val="000000"/>
          <w:vertAlign w:val="superscript"/>
        </w:rPr>
        <w:t>2</w:t>
      </w:r>
      <w:r>
        <w:rPr>
          <w:color w:val="000000"/>
        </w:rPr>
        <w:t>. </w:t>
      </w:r>
      <w:r>
        <w:rPr>
          <w:color w:val="000000"/>
          <w:highlight w:val="white"/>
        </w:rPr>
        <w:t>Операції з базовими активами деривативних контрактів грошового ринку (гривнею, іноземною валютою та банківськими металами) здійснюються з дотриманням вимог цього Положення.</w:t>
      </w:r>
      <w:r>
        <w:rPr>
          <w:color w:val="000000"/>
        </w:rPr>
        <w:t>”.</w:t>
      </w:r>
    </w:p>
    <w:p w:rsidR="00346E27" w:rsidRDefault="00346E27">
      <w:pPr>
        <w:jc w:val="left"/>
        <w:rPr>
          <w:color w:val="000000"/>
        </w:rPr>
      </w:pP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2. У розділі VI:</w:t>
      </w:r>
    </w:p>
    <w:p w:rsidR="00346E27" w:rsidRDefault="00346E27">
      <w:pPr>
        <w:jc w:val="left"/>
        <w:rPr>
          <w:color w:val="000000"/>
        </w:rPr>
      </w:pP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1) у підпункті 4 пункту 67 слова “внутрішніх державних позик” замінити словами “внутрішньої державної позики”;</w:t>
      </w:r>
    </w:p>
    <w:p w:rsidR="00346E27" w:rsidRDefault="00346E27">
      <w:pPr>
        <w:jc w:val="left"/>
        <w:rPr>
          <w:color w:val="000000"/>
        </w:rPr>
      </w:pP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2)  у пункті 71:</w:t>
      </w: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в абзаці четвертому підпункту 2:</w:t>
      </w: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перше речення викласти в такій редакції: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</w:t>
      </w:r>
      <w:r>
        <w:rPr>
          <w:color w:val="000000"/>
          <w:highlight w:val="white"/>
        </w:rPr>
        <w:t>Резиденти/іноземні інвестори в разі купівлі-продажу ОВДП на регульованому фондовому ринку в Україні замість документів, визначених в </w:t>
      </w:r>
      <w:hyperlink r:id="rId17" w:anchor="n235">
        <w:r>
          <w:rPr>
            <w:color w:val="000000"/>
            <w:highlight w:val="white"/>
          </w:rPr>
          <w:t>абзаці третьому</w:t>
        </w:r>
      </w:hyperlink>
      <w:r>
        <w:rPr>
          <w:color w:val="000000"/>
          <w:highlight w:val="white"/>
        </w:rPr>
        <w:t> підпункту 2 пункту 71 розділу VI цього Положення, мають право подавати виписку з реєстру угод (контрактів), укладених за результатами торгів, що підтверджує проведення цих операцій на регульованому фондовому ринку.</w:t>
      </w:r>
      <w:r>
        <w:rPr>
          <w:color w:val="000000"/>
        </w:rPr>
        <w:t>”;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у другому реченні слова “фондової біржі” замінити словами “</w:t>
      </w:r>
      <w:r>
        <w:rPr>
          <w:color w:val="000000"/>
          <w:highlight w:val="white"/>
        </w:rPr>
        <w:t>оператора регульованого ринку</w:t>
      </w:r>
      <w:r>
        <w:rPr>
          <w:color w:val="000000"/>
        </w:rPr>
        <w:t>”;</w:t>
      </w: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в абзаці п’ятому підпункту 6:</w:t>
      </w:r>
    </w:p>
    <w:p w:rsidR="00346E27" w:rsidRDefault="000C14F4">
      <w:pPr>
        <w:jc w:val="left"/>
        <w:rPr>
          <w:color w:val="000000"/>
        </w:rPr>
      </w:pPr>
      <w:r>
        <w:rPr>
          <w:color w:val="000000"/>
        </w:rPr>
        <w:tab/>
        <w:t>перше речення викласти в такій редакції: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 xml:space="preserve">“Резиденти/іноземні інвестори/нерезиденти в разі купівлі-продажу </w:t>
      </w:r>
      <w:r w:rsidR="00DF36E4">
        <w:rPr>
          <w:color w:val="000000"/>
        </w:rPr>
        <w:t xml:space="preserve">цінних паперів </w:t>
      </w:r>
      <w:r>
        <w:rPr>
          <w:color w:val="000000"/>
        </w:rPr>
        <w:t>на регульованому фондовому ринку в Україні замість документів, визначених в абзацах другому та третьому </w:t>
      </w:r>
      <w:hyperlink r:id="rId18" w:anchor="n243">
        <w:r>
          <w:rPr>
            <w:color w:val="000000"/>
          </w:rPr>
          <w:t>підпункту 6</w:t>
        </w:r>
      </w:hyperlink>
      <w:r>
        <w:rPr>
          <w:color w:val="000000"/>
        </w:rPr>
        <w:t xml:space="preserve"> пункту 71 розділу VI цього Положення, мають право подавати виписку з реєстру угод (контрактів), укладених за результатами торгів, що підтверджує проведення цих операцій на регульованому фондовому ринку.”;</w:t>
      </w:r>
    </w:p>
    <w:p w:rsidR="00346E27" w:rsidRDefault="000C14F4">
      <w:pPr>
        <w:rPr>
          <w:color w:val="000000"/>
        </w:rPr>
      </w:pPr>
      <w:r>
        <w:tab/>
      </w:r>
      <w:r>
        <w:rPr>
          <w:color w:val="000000"/>
        </w:rPr>
        <w:t>у другому реченні слова “фондової біржі” замінити словами “</w:t>
      </w:r>
      <w:r>
        <w:rPr>
          <w:color w:val="000000"/>
          <w:highlight w:val="white"/>
        </w:rPr>
        <w:t>оператора регульованого ринку</w:t>
      </w:r>
      <w:r>
        <w:rPr>
          <w:color w:val="000000"/>
        </w:rPr>
        <w:t>”.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  <w:t>3. У розділі ІХ:</w:t>
      </w:r>
    </w:p>
    <w:p w:rsidR="00346E27" w:rsidRDefault="00346E27">
      <w:pPr>
        <w:rPr>
          <w:color w:val="000000"/>
        </w:rPr>
      </w:pPr>
    </w:p>
    <w:p w:rsidR="00E46986" w:rsidRPr="006D2EF7" w:rsidRDefault="000C14F4">
      <w:pPr>
        <w:rPr>
          <w:color w:val="000000"/>
        </w:rPr>
      </w:pPr>
      <w:r>
        <w:rPr>
          <w:color w:val="000000"/>
        </w:rPr>
        <w:tab/>
      </w:r>
      <w:r w:rsidR="005A0545" w:rsidRPr="006D2EF7">
        <w:rPr>
          <w:color w:val="000000"/>
        </w:rPr>
        <w:t>1) у пункті 88</w:t>
      </w:r>
      <w:r w:rsidR="005A0545" w:rsidRPr="006D2EF7">
        <w:rPr>
          <w:color w:val="000000"/>
          <w:vertAlign w:val="superscript"/>
        </w:rPr>
        <w:t>1</w:t>
      </w:r>
      <w:r w:rsidR="005A0545" w:rsidRPr="006D2EF7">
        <w:rPr>
          <w:color w:val="000000"/>
        </w:rPr>
        <w:t>:</w:t>
      </w:r>
    </w:p>
    <w:p w:rsidR="00346E27" w:rsidRPr="006D2EF7" w:rsidRDefault="005A0545" w:rsidP="00E46986">
      <w:pPr>
        <w:ind w:firstLine="708"/>
        <w:rPr>
          <w:color w:val="000000"/>
        </w:rPr>
      </w:pPr>
      <w:r w:rsidRPr="006D2EF7">
        <w:rPr>
          <w:color w:val="000000"/>
        </w:rPr>
        <w:t>слово “який” замінити словом “яка”;</w:t>
      </w:r>
    </w:p>
    <w:p w:rsidR="00E46986" w:rsidRDefault="005A0545" w:rsidP="00E46986">
      <w:pPr>
        <w:ind w:firstLine="708"/>
        <w:rPr>
          <w:color w:val="000000"/>
        </w:rPr>
      </w:pPr>
      <w:r w:rsidRPr="006D2EF7">
        <w:rPr>
          <w:color w:val="000000"/>
        </w:rPr>
        <w:t>слова “торговець цінними паперами”</w:t>
      </w:r>
      <w:r w:rsidRPr="006D2EF7">
        <w:rPr>
          <w:color w:val="000000"/>
          <w:lang w:val="ru-RU"/>
        </w:rPr>
        <w:t xml:space="preserve"> </w:t>
      </w:r>
      <w:r w:rsidRPr="006D2EF7">
        <w:rPr>
          <w:color w:val="000000"/>
        </w:rPr>
        <w:t>в усіх відмінках замінити словами “інвестиційна фірма” у відповідних відмінках;</w:t>
      </w:r>
    </w:p>
    <w:p w:rsidR="00AF057E" w:rsidRDefault="00AF057E" w:rsidP="00E46986">
      <w:pPr>
        <w:ind w:firstLine="708"/>
        <w:rPr>
          <w:color w:val="000000"/>
        </w:rPr>
      </w:pPr>
    </w:p>
    <w:p w:rsidR="00346E27" w:rsidRDefault="000C14F4">
      <w:pPr>
        <w:ind w:firstLine="708"/>
        <w:rPr>
          <w:color w:val="000000"/>
        </w:rPr>
      </w:pPr>
      <w:r>
        <w:rPr>
          <w:color w:val="000000"/>
        </w:rPr>
        <w:t>2) у пунктах 90, 94, 95</w:t>
      </w:r>
      <w:r w:rsidR="00DF36E4">
        <w:rPr>
          <w:color w:val="000000"/>
        </w:rPr>
        <w:t>,</w:t>
      </w:r>
      <w:r>
        <w:rPr>
          <w:color w:val="000000"/>
        </w:rPr>
        <w:t xml:space="preserve"> </w:t>
      </w:r>
      <w:r w:rsidR="00DF36E4" w:rsidRPr="00860467">
        <w:rPr>
          <w:color w:val="000000"/>
        </w:rPr>
        <w:t>97, 98</w:t>
      </w:r>
      <w:r w:rsidR="00DF36E4" w:rsidRPr="00860467">
        <w:rPr>
          <w:color w:val="000000"/>
          <w:vertAlign w:val="superscript"/>
        </w:rPr>
        <w:t>1</w:t>
      </w:r>
      <w:r w:rsidR="00DF36E4">
        <w:rPr>
          <w:color w:val="000000"/>
        </w:rPr>
        <w:t xml:space="preserve"> </w:t>
      </w:r>
      <w:r>
        <w:rPr>
          <w:color w:val="000000"/>
        </w:rPr>
        <w:t>слова “торговець цінними паперами”</w:t>
      </w:r>
      <w:r w:rsidR="002B20EF" w:rsidRPr="002B20EF">
        <w:rPr>
          <w:color w:val="000000"/>
          <w:lang w:val="ru-RU"/>
        </w:rPr>
        <w:t xml:space="preserve"> </w:t>
      </w:r>
      <w:r>
        <w:rPr>
          <w:color w:val="000000"/>
        </w:rPr>
        <w:t>в усіх відмінках замінити словами “інвестиційна фірма” у відповідних відмінках.</w:t>
      </w:r>
    </w:p>
    <w:p w:rsidR="00346E27" w:rsidRDefault="00346E27">
      <w:pPr>
        <w:rPr>
          <w:color w:val="000000"/>
        </w:rPr>
      </w:pPr>
    </w:p>
    <w:p w:rsidR="00346E27" w:rsidRDefault="000C14F4">
      <w:pPr>
        <w:ind w:firstLine="708"/>
        <w:rPr>
          <w:color w:val="000000"/>
        </w:rPr>
      </w:pPr>
      <w:r>
        <w:rPr>
          <w:color w:val="000000"/>
        </w:rPr>
        <w:t>4. У розділі Х:</w:t>
      </w:r>
    </w:p>
    <w:p w:rsidR="00346E27" w:rsidRDefault="00346E27">
      <w:pPr>
        <w:ind w:left="709"/>
        <w:rPr>
          <w:color w:val="000000"/>
        </w:rPr>
      </w:pPr>
    </w:p>
    <w:p w:rsidR="00DF36E4" w:rsidRDefault="00DF36E4" w:rsidP="00DF36E4">
      <w:pPr>
        <w:ind w:firstLine="709"/>
        <w:rPr>
          <w:color w:val="000000"/>
        </w:rPr>
      </w:pPr>
      <w:r>
        <w:rPr>
          <w:color w:val="000000"/>
        </w:rPr>
        <w:t xml:space="preserve">1)  </w:t>
      </w:r>
      <w:r w:rsidRPr="00860467">
        <w:rPr>
          <w:color w:val="000000"/>
        </w:rPr>
        <w:t>у підпункті 28 пункту 109 слова “торговця цінними паперами”, “торговцем цінними паперами” замінити відповідно словами “інвестиційної фірми”, “інвестиційною фірмою”</w:t>
      </w:r>
      <w:r w:rsidR="00DA1F22">
        <w:rPr>
          <w:color w:val="000000"/>
        </w:rPr>
        <w:t>;</w:t>
      </w:r>
    </w:p>
    <w:p w:rsidR="00DF36E4" w:rsidRDefault="00DF36E4">
      <w:pPr>
        <w:ind w:left="709"/>
        <w:rPr>
          <w:color w:val="000000"/>
        </w:rPr>
      </w:pPr>
    </w:p>
    <w:p w:rsidR="00346E27" w:rsidRDefault="00DF36E4">
      <w:pPr>
        <w:ind w:firstLine="709"/>
        <w:rPr>
          <w:color w:val="000000"/>
        </w:rPr>
      </w:pPr>
      <w:r>
        <w:rPr>
          <w:color w:val="000000"/>
        </w:rPr>
        <w:t>2</w:t>
      </w:r>
      <w:r w:rsidR="000C14F4">
        <w:rPr>
          <w:color w:val="000000"/>
        </w:rPr>
        <w:t>) у пункті 117:</w:t>
      </w:r>
    </w:p>
    <w:p w:rsidR="00346E27" w:rsidRDefault="000C14F4">
      <w:pPr>
        <w:ind w:firstLine="709"/>
        <w:rPr>
          <w:color w:val="000000"/>
        </w:rPr>
      </w:pPr>
      <w:r>
        <w:rPr>
          <w:color w:val="000000"/>
        </w:rPr>
        <w:t>пункт після підпункту 15 доповнити новим підпунктом 15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такого змісту:</w:t>
      </w:r>
    </w:p>
    <w:p w:rsidR="00346E27" w:rsidRDefault="000C14F4" w:rsidP="007A35E1">
      <w:pPr>
        <w:ind w:firstLine="709"/>
        <w:rPr>
          <w:color w:val="000000"/>
        </w:rPr>
      </w:pPr>
      <w:r>
        <w:rPr>
          <w:color w:val="000000"/>
        </w:rPr>
        <w:tab/>
        <w:t>“15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контрактами;”;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у підпункті 20 слова “(депозитними)”, “(депозитних)” виключити;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</w:r>
      <w:r w:rsidR="00DF36E4">
        <w:rPr>
          <w:color w:val="000000"/>
        </w:rPr>
        <w:t>3</w:t>
      </w:r>
      <w:r>
        <w:rPr>
          <w:color w:val="000000"/>
        </w:rPr>
        <w:t>) у пункті 118: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у підпункті 10 слова “(депозитними)”, “(депозитних)” виключити;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у підпункті 11 слова “внутрішніх державних позик” замінити словами “внутрішньої державної позики”;</w:t>
      </w:r>
    </w:p>
    <w:p w:rsidR="0078514E" w:rsidRDefault="00DF36E4">
      <w:pPr>
        <w:ind w:firstLine="720"/>
        <w:rPr>
          <w:color w:val="000000"/>
        </w:rPr>
      </w:pPr>
      <w:r w:rsidRPr="00860467">
        <w:rPr>
          <w:color w:val="000000"/>
        </w:rPr>
        <w:t>у підпункті 23</w:t>
      </w:r>
      <w:r w:rsidRPr="00860467">
        <w:rPr>
          <w:color w:val="000000"/>
          <w:vertAlign w:val="superscript"/>
        </w:rPr>
        <w:t>1</w:t>
      </w:r>
      <w:r w:rsidRPr="00860467">
        <w:rPr>
          <w:color w:val="000000"/>
        </w:rPr>
        <w:t xml:space="preserve"> слова “торговця цінними паперами” замінити словами “інвестиційної фірми”;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</w:r>
      <w:r w:rsidR="00DF36E4">
        <w:rPr>
          <w:color w:val="000000"/>
        </w:rPr>
        <w:t>4</w:t>
      </w:r>
      <w:r>
        <w:rPr>
          <w:color w:val="000000"/>
        </w:rPr>
        <w:t>) у пункті 119:</w:t>
      </w:r>
    </w:p>
    <w:p w:rsidR="00346E27" w:rsidRDefault="000C14F4">
      <w:pPr>
        <w:ind w:firstLine="708"/>
        <w:rPr>
          <w:color w:val="000000"/>
        </w:rPr>
      </w:pPr>
      <w:r>
        <w:rPr>
          <w:color w:val="000000"/>
        </w:rPr>
        <w:t>у підпункті 9 слова “(депозитними)”, “(депозитних)” виключити;</w:t>
      </w:r>
    </w:p>
    <w:p w:rsidR="00346E27" w:rsidRDefault="000C14F4">
      <w:pPr>
        <w:ind w:firstLine="708"/>
        <w:rPr>
          <w:color w:val="000000"/>
        </w:rPr>
      </w:pPr>
      <w:r>
        <w:rPr>
          <w:color w:val="000000"/>
        </w:rPr>
        <w:t>пункт після підпункту 10 доповнити новим підпунктом 10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“10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</w:r>
      <w:r w:rsidR="00DF36E4">
        <w:rPr>
          <w:color w:val="000000"/>
        </w:rPr>
        <w:t>5</w:t>
      </w:r>
      <w:r>
        <w:rPr>
          <w:color w:val="000000"/>
        </w:rPr>
        <w:t>) пункт 127 після підпункту 10 доповнити новим підпунктом 10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“10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</w:r>
      <w:r w:rsidR="00DF36E4">
        <w:rPr>
          <w:color w:val="000000"/>
        </w:rPr>
        <w:t>6</w:t>
      </w:r>
      <w:r>
        <w:rPr>
          <w:color w:val="000000"/>
        </w:rPr>
        <w:t>) пункт 128 після підпункту 14 доповнити новим підпунктом 14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“14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</w:r>
      <w:r w:rsidR="00DF36E4">
        <w:rPr>
          <w:color w:val="000000"/>
        </w:rPr>
        <w:t>7</w:t>
      </w:r>
      <w:r>
        <w:rPr>
          <w:color w:val="000000"/>
        </w:rPr>
        <w:t>) пункт 131 викласти в такій редакції:</w:t>
      </w: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>“131. Режим поточного рахунку, відкритого Організації Об’єднаних Націй (далі – ООН) та спеціалізованим установам ООН</w:t>
      </w:r>
      <w:r w:rsidR="007A35E1">
        <w:rPr>
          <w:color w:val="000000"/>
        </w:rPr>
        <w:t>,</w:t>
      </w:r>
      <w:r>
        <w:rPr>
          <w:color w:val="000000"/>
        </w:rPr>
        <w:t xml:space="preserve"> не обмежується жодним фінансовим контролем, правилами або мораторієм будь-якого виду відповідно до розділу 5 Конвенції ООН “Про привілеї та імунітети Обʼєднаних Націй” від </w:t>
      </w:r>
      <w:r>
        <w:rPr>
          <w:color w:val="000000"/>
          <w:highlight w:val="white"/>
        </w:rPr>
        <w:t>13 лютого 1946 року та розділу 7 Конвенції ООН “Про привілеї та імунітети спеціалізованих установ” від 21 листопада 1947 року.</w:t>
      </w:r>
      <w:r>
        <w:rPr>
          <w:color w:val="000000"/>
          <w:sz w:val="24"/>
          <w:szCs w:val="24"/>
        </w:rPr>
        <w:t>”;</w:t>
      </w:r>
    </w:p>
    <w:p w:rsidR="00346E27" w:rsidRDefault="000C1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346E27" w:rsidRPr="007A35E1" w:rsidRDefault="00ED79CD">
      <w:pPr>
        <w:ind w:firstLine="708"/>
      </w:pPr>
      <w:r>
        <w:rPr>
          <w:color w:val="000000"/>
        </w:rPr>
        <w:t>8</w:t>
      </w:r>
      <w:r w:rsidR="000C14F4">
        <w:rPr>
          <w:color w:val="000000"/>
        </w:rPr>
        <w:t xml:space="preserve">) у </w:t>
      </w:r>
      <w:r w:rsidR="00765B18" w:rsidRPr="00765B18">
        <w:t>підпункті 9 пункту 132 слова “</w:t>
      </w:r>
      <w:r w:rsidR="00765B18" w:rsidRPr="00765B18">
        <w:rPr>
          <w:highlight w:val="white"/>
        </w:rPr>
        <w:t>фондового ринку</w:t>
      </w:r>
      <w:r w:rsidR="00765B18" w:rsidRPr="00765B18">
        <w:t>” замінити словами “ринків капіталу”.</w:t>
      </w:r>
    </w:p>
    <w:p w:rsidR="00346E27" w:rsidRDefault="00346E27">
      <w:pPr>
        <w:rPr>
          <w:color w:val="000000"/>
        </w:rPr>
      </w:pPr>
    </w:p>
    <w:p w:rsidR="00346E27" w:rsidRDefault="000C14F4">
      <w:pPr>
        <w:ind w:firstLine="708"/>
        <w:rPr>
          <w:color w:val="000000"/>
        </w:rPr>
      </w:pPr>
      <w:r>
        <w:rPr>
          <w:color w:val="000000"/>
        </w:rPr>
        <w:t>5. У розділі ХІ: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  <w:t>1) пункт 138 після підпункту 14 доповнити новим підпунктом 14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“14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контрактами;”;</w:t>
      </w:r>
    </w:p>
    <w:p w:rsidR="00346E27" w:rsidRDefault="00346E27">
      <w:pPr>
        <w:rPr>
          <w:color w:val="000000"/>
        </w:rPr>
      </w:pPr>
    </w:p>
    <w:p w:rsidR="00346E27" w:rsidRDefault="000C14F4">
      <w:pPr>
        <w:rPr>
          <w:color w:val="000000"/>
        </w:rPr>
      </w:pPr>
      <w:r>
        <w:rPr>
          <w:color w:val="000000"/>
        </w:rPr>
        <w:tab/>
        <w:t>2) у пункті 150: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у підпункті 10 слова “біржових зборів” замінити словами “комісійних витрат, сплачених оператору організованого ринку”;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пункт після підпункту 12 доповнити новим підпунктом 12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такого змісту:</w:t>
      </w:r>
    </w:p>
    <w:p w:rsidR="00346E27" w:rsidRDefault="000C14F4">
      <w:pPr>
        <w:rPr>
          <w:color w:val="000000"/>
        </w:rPr>
      </w:pPr>
      <w:r>
        <w:rPr>
          <w:color w:val="000000"/>
        </w:rPr>
        <w:tab/>
        <w:t>“12</w:t>
      </w:r>
      <w:r>
        <w:rPr>
          <w:color w:val="000000"/>
          <w:vertAlign w:val="superscript"/>
        </w:rPr>
        <w:t>1</w:t>
      </w:r>
      <w:r>
        <w:rPr>
          <w:color w:val="000000"/>
        </w:rPr>
        <w:t>) розрахунки за деривативними контрактами;”.</w:t>
      </w:r>
    </w:p>
    <w:p w:rsidR="00346E27" w:rsidRDefault="00346E27">
      <w:pPr>
        <w:rPr>
          <w:color w:val="000000"/>
        </w:rPr>
      </w:pPr>
    </w:p>
    <w:p w:rsidR="00346E27" w:rsidRDefault="00346E27">
      <w:pPr>
        <w:rPr>
          <w:color w:val="000000"/>
        </w:rPr>
      </w:pPr>
    </w:p>
    <w:sectPr w:rsidR="00346E27" w:rsidSect="007A35E1">
      <w:pgSz w:w="11906" w:h="16838"/>
      <w:pgMar w:top="567" w:right="567" w:bottom="1701" w:left="1701" w:header="283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6F" w:rsidRDefault="00A37E6F">
      <w:r>
        <w:separator/>
      </w:r>
    </w:p>
  </w:endnote>
  <w:endnote w:type="continuationSeparator" w:id="0">
    <w:p w:rsidR="00A37E6F" w:rsidRDefault="00A3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EC" w:rsidRDefault="008B4AE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EC" w:rsidRDefault="008B4AE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27" w:rsidRDefault="000C14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  <w:p w:rsidR="00346E27" w:rsidRDefault="000C14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6F" w:rsidRDefault="00A37E6F">
      <w:r>
        <w:separator/>
      </w:r>
    </w:p>
  </w:footnote>
  <w:footnote w:type="continuationSeparator" w:id="0">
    <w:p w:rsidR="00A37E6F" w:rsidRDefault="00A3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EC" w:rsidRDefault="008B4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27" w:rsidRDefault="007851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0C14F4">
      <w:rPr>
        <w:color w:val="000000"/>
      </w:rPr>
      <w:instrText>PAGE</w:instrText>
    </w:r>
    <w:r>
      <w:rPr>
        <w:color w:val="000000"/>
      </w:rPr>
      <w:fldChar w:fldCharType="separate"/>
    </w:r>
    <w:r w:rsidR="00C557DF">
      <w:rPr>
        <w:noProof/>
        <w:color w:val="000000"/>
      </w:rPr>
      <w:t>3</w:t>
    </w:r>
    <w:r>
      <w:rPr>
        <w:color w:val="000000"/>
      </w:rPr>
      <w:fldChar w:fldCharType="end"/>
    </w:r>
  </w:p>
  <w:p w:rsidR="00346E27" w:rsidRDefault="00346E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F" w:rsidRPr="006E48CF" w:rsidRDefault="00AF3AD3" w:rsidP="006E48CF">
    <w:pPr>
      <w:pStyle w:val="af0"/>
      <w:jc w:val="right"/>
      <w:rPr>
        <w:sz w:val="24"/>
        <w:szCs w:val="24"/>
      </w:rPr>
    </w:pPr>
    <w:r>
      <w:rPr>
        <w:sz w:val="24"/>
        <w:szCs w:val="24"/>
      </w:rPr>
      <w:t>Офіційно опубліковано 30</w:t>
    </w:r>
    <w:r w:rsidR="006E48CF">
      <w:rPr>
        <w:sz w:val="24"/>
        <w:szCs w:val="24"/>
      </w:rPr>
      <w:t>.06.2021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F" w:rsidRPr="006E48CF" w:rsidRDefault="006E48CF" w:rsidP="006E48CF">
    <w:pPr>
      <w:pStyle w:val="af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E27"/>
    <w:rsid w:val="000B18FC"/>
    <w:rsid w:val="000C14F4"/>
    <w:rsid w:val="000E70C7"/>
    <w:rsid w:val="00211B3F"/>
    <w:rsid w:val="002B20EF"/>
    <w:rsid w:val="002C42AB"/>
    <w:rsid w:val="002E738F"/>
    <w:rsid w:val="0034413E"/>
    <w:rsid w:val="00346885"/>
    <w:rsid w:val="00346E27"/>
    <w:rsid w:val="003D4445"/>
    <w:rsid w:val="004843C0"/>
    <w:rsid w:val="00580E0F"/>
    <w:rsid w:val="00596F93"/>
    <w:rsid w:val="005A0545"/>
    <w:rsid w:val="005A436A"/>
    <w:rsid w:val="00624F91"/>
    <w:rsid w:val="00635FED"/>
    <w:rsid w:val="006A24B0"/>
    <w:rsid w:val="006D2EF7"/>
    <w:rsid w:val="006E48CF"/>
    <w:rsid w:val="00765B18"/>
    <w:rsid w:val="0078514E"/>
    <w:rsid w:val="007A35E1"/>
    <w:rsid w:val="007C2B2F"/>
    <w:rsid w:val="00832FD0"/>
    <w:rsid w:val="008B4AEC"/>
    <w:rsid w:val="008E2D2F"/>
    <w:rsid w:val="00926F1B"/>
    <w:rsid w:val="009B0CFD"/>
    <w:rsid w:val="00A247B4"/>
    <w:rsid w:val="00A37E6F"/>
    <w:rsid w:val="00AF057E"/>
    <w:rsid w:val="00AF3AD3"/>
    <w:rsid w:val="00BE1DE6"/>
    <w:rsid w:val="00C06FD5"/>
    <w:rsid w:val="00C557DF"/>
    <w:rsid w:val="00C61675"/>
    <w:rsid w:val="00C926C4"/>
    <w:rsid w:val="00CC60F8"/>
    <w:rsid w:val="00DA114D"/>
    <w:rsid w:val="00DA1F22"/>
    <w:rsid w:val="00DD014A"/>
    <w:rsid w:val="00DF36E4"/>
    <w:rsid w:val="00E34035"/>
    <w:rsid w:val="00E46986"/>
    <w:rsid w:val="00E539E3"/>
    <w:rsid w:val="00EB1D3D"/>
    <w:rsid w:val="00ED79CD"/>
    <w:rsid w:val="00EE6BB0"/>
    <w:rsid w:val="00F712BD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20EF"/>
  </w:style>
  <w:style w:type="paragraph" w:styleId="1">
    <w:name w:val="heading 1"/>
    <w:basedOn w:val="a"/>
    <w:next w:val="a"/>
    <w:rsid w:val="002B2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20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20E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2B2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2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20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2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20EF"/>
    <w:pPr>
      <w:ind w:left="5040" w:firstLine="72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rsid w:val="002B20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20E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20E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20E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26F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6F1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6F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F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6F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6F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6F1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4698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539E3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539E3"/>
  </w:style>
  <w:style w:type="paragraph" w:styleId="af2">
    <w:name w:val="footer"/>
    <w:basedOn w:val="a"/>
    <w:link w:val="af3"/>
    <w:uiPriority w:val="99"/>
    <w:unhideWhenUsed/>
    <w:rsid w:val="00E539E3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539E3"/>
  </w:style>
  <w:style w:type="table" w:customStyle="1" w:styleId="10">
    <w:name w:val="Сітка таблиці1"/>
    <w:basedOn w:val="a1"/>
    <w:next w:val="af4"/>
    <w:uiPriority w:val="59"/>
    <w:rsid w:val="00DA1F22"/>
    <w:pPr>
      <w:jc w:val="left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D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https://zakon.rada.gov.ua/laws/show/v0005500-19/ed202104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s://zakon.rada.gov.ua/laws/show/v0005500-19/ed20210427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793500-14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8F73-16BE-4C26-8E40-DD86553B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9157</Words>
  <Characters>5220</Characters>
  <Application>Microsoft Office Word</Application>
  <DocSecurity>0</DocSecurity>
  <Lines>43</Lines>
  <Paragraphs>28</Paragraphs>
  <ScaleCrop>false</ScaleCrop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2021-07-20T13:40:00Z</dcterms:created>
  <dcterms:modified xsi:type="dcterms:W3CDTF">2021-07-20T13:41:00Z</dcterms:modified>
  <cp:contentStatus/>
</cp:coreProperties>
</file>