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58" w:rsidRPr="00C17BAC" w:rsidRDefault="00531558" w:rsidP="00F72970">
      <w:pPr>
        <w:spacing w:after="0" w:line="240" w:lineRule="auto"/>
        <w:jc w:val="right"/>
        <w:rPr>
          <w:rFonts w:ascii="Times New Roman" w:eastAsia="SimSun" w:hAnsi="Times New Roman" w:cs="Times New Roman"/>
          <w:sz w:val="2"/>
          <w:szCs w:val="2"/>
          <w:lang w:eastAsia="uk-UA"/>
        </w:rPr>
      </w:pPr>
      <w:r w:rsidRPr="00C17BAC">
        <w:rPr>
          <w:rFonts w:ascii="Times New Roman" w:eastAsia="SimSun" w:hAnsi="Times New Roman" w:cs="Times New Roman"/>
          <w:sz w:val="2"/>
          <w:szCs w:val="2"/>
          <w:lang w:eastAsia="uk-UA"/>
        </w:rPr>
        <w:t xml:space="preserve"> </w:t>
      </w:r>
    </w:p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uk-UA"/>
        </w:rPr>
      </w:pPr>
    </w:p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uk-UA"/>
        </w:rPr>
      </w:pPr>
    </w:p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uk-UA"/>
        </w:rPr>
      </w:pPr>
    </w:p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16"/>
        <w:gridCol w:w="3229"/>
      </w:tblGrid>
      <w:tr w:rsidR="00531558" w:rsidRPr="00C17BAC" w:rsidTr="00D202FF">
        <w:trPr>
          <w:trHeight w:val="851"/>
        </w:trPr>
        <w:tc>
          <w:tcPr>
            <w:tcW w:w="3284" w:type="dxa"/>
          </w:tcPr>
          <w:p w:rsidR="00531558" w:rsidRPr="00C17BAC" w:rsidRDefault="00531558" w:rsidP="0053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</w:tcPr>
          <w:p w:rsidR="00531558" w:rsidRPr="00C17BAC" w:rsidRDefault="00531558" w:rsidP="00531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object w:dxaOrig="1595" w:dyaOrig="2201" w14:anchorId="6FCB6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46.9pt" o:ole="">
                  <v:imagedata r:id="rId8" o:title=""/>
                </v:shape>
                <o:OLEObject Type="Embed" ProgID="CorelDraw.Graphic.16" ShapeID="_x0000_i1025" DrawAspect="Content" ObjectID="_1765435932" r:id="rId9"/>
              </w:object>
            </w:r>
          </w:p>
        </w:tc>
        <w:tc>
          <w:tcPr>
            <w:tcW w:w="3285" w:type="dxa"/>
          </w:tcPr>
          <w:p w:rsidR="00531558" w:rsidRPr="007C0521" w:rsidRDefault="007C0521" w:rsidP="00531558">
            <w:pPr>
              <w:jc w:val="both"/>
              <w:rPr>
                <w:rFonts w:ascii="Times New Roman" w:hAnsi="Times New Roman"/>
              </w:rPr>
            </w:pPr>
            <w:r w:rsidRPr="007C0521">
              <w:rPr>
                <w:rFonts w:ascii="Times New Roman" w:hAnsi="Times New Roman"/>
              </w:rPr>
              <w:t>Офіційно опубліковано 30.12.2023</w:t>
            </w:r>
          </w:p>
        </w:tc>
      </w:tr>
      <w:tr w:rsidR="00531558" w:rsidRPr="00C17BAC" w:rsidTr="00D77A88">
        <w:tc>
          <w:tcPr>
            <w:tcW w:w="3284" w:type="dxa"/>
          </w:tcPr>
          <w:p w:rsidR="00531558" w:rsidRPr="00C17BAC" w:rsidRDefault="00531558" w:rsidP="0053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531558" w:rsidRPr="00C17BAC" w:rsidRDefault="00531558" w:rsidP="0053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1558" w:rsidRPr="00C17BAC" w:rsidRDefault="00531558" w:rsidP="0053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558" w:rsidRPr="00C17BAC" w:rsidTr="00D202FF">
        <w:tc>
          <w:tcPr>
            <w:tcW w:w="9854" w:type="dxa"/>
            <w:gridSpan w:val="3"/>
          </w:tcPr>
          <w:p w:rsidR="00531558" w:rsidRPr="00C17BAC" w:rsidRDefault="00531558" w:rsidP="00531558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  <w:t>Правління Національного банку України</w:t>
            </w:r>
          </w:p>
          <w:p w:rsidR="00531558" w:rsidRPr="00C17BAC" w:rsidRDefault="00531558" w:rsidP="00531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4"/>
          <w:szCs w:val="4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531558" w:rsidRPr="00C17BAC" w:rsidTr="00D202FF">
        <w:tc>
          <w:tcPr>
            <w:tcW w:w="3510" w:type="dxa"/>
            <w:vAlign w:val="bottom"/>
          </w:tcPr>
          <w:p w:rsidR="00531558" w:rsidRPr="007C0521" w:rsidRDefault="00531558" w:rsidP="00531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5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 </w:t>
            </w:r>
            <w:proofErr w:type="spellStart"/>
            <w:r w:rsidR="007C0521">
              <w:rPr>
                <w:rFonts w:ascii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7C05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521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</w:tc>
        <w:tc>
          <w:tcPr>
            <w:tcW w:w="2694" w:type="dxa"/>
          </w:tcPr>
          <w:p w:rsidR="00531558" w:rsidRPr="00C17BAC" w:rsidRDefault="00531558" w:rsidP="0053155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color w:val="006600"/>
                <w:sz w:val="28"/>
                <w:szCs w:val="28"/>
              </w:rPr>
              <w:t>Київ</w:t>
            </w:r>
          </w:p>
        </w:tc>
        <w:tc>
          <w:tcPr>
            <w:tcW w:w="1713" w:type="dxa"/>
            <w:vAlign w:val="bottom"/>
          </w:tcPr>
          <w:p w:rsidR="00531558" w:rsidRPr="00C17BAC" w:rsidRDefault="00531558" w:rsidP="005315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Align w:val="bottom"/>
          </w:tcPr>
          <w:p w:rsidR="00531558" w:rsidRPr="00C17BAC" w:rsidRDefault="007C0521" w:rsidP="00D47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7F9B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531558" w:rsidRPr="00C17BAC" w:rsidRDefault="00531558" w:rsidP="0053155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531558" w:rsidRPr="00C17BAC" w:rsidTr="00D202FF">
        <w:trPr>
          <w:jc w:val="center"/>
        </w:trPr>
        <w:tc>
          <w:tcPr>
            <w:tcW w:w="5000" w:type="pct"/>
          </w:tcPr>
          <w:p w:rsidR="00531558" w:rsidRPr="00C17BAC" w:rsidRDefault="00531558" w:rsidP="00756B3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 затвердження Положення про </w:t>
            </w:r>
            <w:r w:rsidR="009C5D61" w:rsidRPr="00C17BAC">
              <w:rPr>
                <w:rFonts w:ascii="Times New Roman" w:hAnsi="Times New Roman"/>
                <w:bCs/>
                <w:sz w:val="28"/>
                <w:szCs w:val="28"/>
              </w:rPr>
              <w:t xml:space="preserve">особливості </w:t>
            </w:r>
            <w:r w:rsidR="00756B3D" w:rsidRPr="00C17BAC">
              <w:rPr>
                <w:rFonts w:ascii="Times New Roman" w:hAnsi="Times New Roman"/>
                <w:bCs/>
                <w:sz w:val="28"/>
                <w:szCs w:val="28"/>
              </w:rPr>
              <w:t>діяльності об’єднаних кредитних</w:t>
            </w:r>
            <w:r w:rsidRPr="00C17BAC">
              <w:rPr>
                <w:rFonts w:ascii="Times New Roman" w:hAnsi="Times New Roman"/>
                <w:bCs/>
                <w:sz w:val="28"/>
                <w:szCs w:val="28"/>
              </w:rPr>
              <w:t xml:space="preserve"> спіл</w:t>
            </w:r>
            <w:r w:rsidR="00756B3D" w:rsidRPr="00C17BAC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</w:p>
          <w:p w:rsidR="00E23CF8" w:rsidRPr="00C17BAC" w:rsidRDefault="008D18D5" w:rsidP="00756B3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C17BA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31558" w:rsidRPr="00C17BAC" w:rsidRDefault="00531558" w:rsidP="00DD10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uk-UA"/>
        </w:rPr>
      </w:pPr>
      <w:r w:rsidRPr="00C17B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Відповідно до статей 7, 15, 56 Закону України </w:t>
      </w:r>
      <w:r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“</w:t>
      </w:r>
      <w:r w:rsidRPr="00C17B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 Національний банк України</w:t>
      </w:r>
      <w:r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”</w:t>
      </w:r>
      <w:r w:rsidRPr="00C17B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статті 23 Закону України “Про фінансові послуги та фінансові компанії”, статей 37, 38</w:t>
      </w:r>
      <w:r w:rsidR="002F66A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 61, 63, 64</w:t>
      </w:r>
      <w:r w:rsidR="00DF7126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DF7126" w:rsidRPr="00DF712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пункту 16 розділу XI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Закону України 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“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Про кредитні спілки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”</w:t>
      </w:r>
      <w:r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C17B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 метою</w:t>
      </w:r>
      <w:r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515D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врегулювання </w:t>
      </w:r>
      <w:r w:rsidR="007C0AF4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особливостей діяльності </w:t>
      </w:r>
      <w:r w:rsidR="007C08ED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об’єднаних кредитних </w:t>
      </w:r>
      <w:r w:rsidR="00EE3DF4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спілок </w:t>
      </w:r>
      <w:r w:rsidR="007C0AF4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E3DF4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здійснення </w:t>
      </w:r>
      <w:r w:rsidR="007C0AF4" w:rsidRPr="00C17BAC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контролю </w:t>
      </w:r>
      <w:r w:rsidR="00753B32" w:rsidRPr="00753B32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за додержанням законодавства кредитними спілками, які є членами об’єднаної кредитної спілки</w:t>
      </w:r>
      <w:r w:rsidRPr="00C17B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C17BAC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</w:t>
      </w:r>
      <w:r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Правління Національного банку України</w:t>
      </w:r>
      <w:r w:rsidRPr="00C17BAC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постановляє:</w:t>
      </w:r>
    </w:p>
    <w:p w:rsidR="00DD10CE" w:rsidRPr="00C17BAC" w:rsidRDefault="00DD10CE" w:rsidP="00DD10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uk-UA"/>
        </w:rPr>
      </w:pPr>
    </w:p>
    <w:p w:rsidR="00531558" w:rsidRPr="00C17BAC" w:rsidRDefault="00531558" w:rsidP="00DD10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1. </w:t>
      </w:r>
      <w:r w:rsidR="00EE3DF4" w:rsidRPr="00C1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Положення про </w:t>
      </w:r>
      <w:r w:rsidR="009C5D61" w:rsidRPr="00C1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особливості </w:t>
      </w:r>
      <w:r w:rsidRPr="00C1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діяльності </w:t>
      </w:r>
      <w:r w:rsidR="007C0AF4" w:rsidRPr="00C1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об’єднаних </w:t>
      </w:r>
      <w:r w:rsidRPr="00C17BAC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кредитних спілок (далі – Положення), що додається</w:t>
      </w:r>
      <w:r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D10CE" w:rsidRPr="00C17BAC" w:rsidRDefault="00DD10CE" w:rsidP="00DD10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  <w:lang w:eastAsia="uk-UA"/>
        </w:rPr>
      </w:pPr>
    </w:p>
    <w:p w:rsidR="00531558" w:rsidRPr="00C17BAC" w:rsidRDefault="00637811" w:rsidP="00DD10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2. </w:t>
      </w:r>
      <w:r w:rsidR="007C0AF4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Об’єднаним кредитним </w:t>
      </w:r>
      <w:r w:rsidR="00531558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спілкам</w:t>
      </w:r>
      <w:r w:rsidR="007C0AF4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</w:t>
      </w:r>
      <w:r w:rsidR="005C66E3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розробити та </w:t>
      </w:r>
      <w:r w:rsidR="00DF7126" w:rsidRPr="00DF7126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привести свої внутрішні документи</w:t>
      </w:r>
      <w:r w:rsidR="00360882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, діяльність</w:t>
      </w:r>
      <w:r w:rsidR="00DF7126" w:rsidRPr="00DF7126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 у відповідність </w:t>
      </w:r>
      <w:r w:rsidR="002B527A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до</w:t>
      </w:r>
      <w:r w:rsidR="00DF7126" w:rsidRPr="00DF7126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 вимог Положення</w:t>
      </w:r>
      <w:r w:rsidR="009D0224"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 до 01 </w:t>
      </w:r>
      <w:proofErr w:type="spellStart"/>
      <w:r w:rsidR="00DF7126">
        <w:rPr>
          <w:rFonts w:ascii="Times New Roman" w:eastAsia="SimSun" w:hAnsi="Times New Roman" w:cs="Times New Roman"/>
          <w:bCs/>
          <w:sz w:val="28"/>
          <w:szCs w:val="28"/>
          <w:lang w:val="ru-RU" w:eastAsia="uk-UA"/>
        </w:rPr>
        <w:t>липня</w:t>
      </w:r>
      <w:proofErr w:type="spellEnd"/>
      <w:r w:rsidR="00DF7126"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 </w:t>
      </w:r>
      <w:r w:rsidR="009D0224"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2024 року.</w:t>
      </w:r>
    </w:p>
    <w:p w:rsidR="00DD10CE" w:rsidRPr="00C17BAC" w:rsidRDefault="00DD10CE" w:rsidP="00DD10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</w:p>
    <w:p w:rsidR="00531558" w:rsidRPr="00C17BAC" w:rsidRDefault="00EE3DF4" w:rsidP="00DD10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637811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 </w:t>
      </w:r>
      <w:r w:rsidR="00531558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</w:t>
      </w:r>
      <w:r w:rsidR="007C0AF4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об’єднаних</w:t>
      </w:r>
      <w:r w:rsidR="00531558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кредитних спілок інформацію про прийняття цієї постанови.</w:t>
      </w:r>
    </w:p>
    <w:p w:rsidR="00DD10CE" w:rsidRPr="00C17BAC" w:rsidRDefault="00DD10CE" w:rsidP="00DD10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31558" w:rsidRPr="00C17BAC" w:rsidRDefault="00EE3DF4" w:rsidP="00DD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="00531558" w:rsidRPr="00C17B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 </w:t>
      </w:r>
      <w:r w:rsidR="00531558" w:rsidRPr="00C17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Постанова набира</w:t>
      </w:r>
      <w:r w:rsidRPr="00C17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чинності з 01 січня 2024 року</w:t>
      </w:r>
      <w:r w:rsidR="00531558" w:rsidRPr="00C17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E3DF4" w:rsidRPr="00C17BAC" w:rsidRDefault="00EE3DF4" w:rsidP="00531558">
      <w:pPr>
        <w:spacing w:before="240" w:after="24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531558" w:rsidRPr="00C17BAC" w:rsidTr="00D202FF">
        <w:tc>
          <w:tcPr>
            <w:tcW w:w="5495" w:type="dxa"/>
            <w:vAlign w:val="bottom"/>
          </w:tcPr>
          <w:p w:rsidR="00531558" w:rsidRPr="00C17BAC" w:rsidRDefault="00531558" w:rsidP="0053155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531558" w:rsidRPr="00C17BAC" w:rsidRDefault="00531558" w:rsidP="0053155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BAC">
              <w:rPr>
                <w:rFonts w:ascii="Times New Roman" w:hAnsi="Times New Roman"/>
                <w:sz w:val="28"/>
                <w:szCs w:val="28"/>
              </w:rPr>
              <w:t>Андрій ПИШНИЙ</w:t>
            </w:r>
          </w:p>
        </w:tc>
      </w:tr>
    </w:tbl>
    <w:p w:rsidR="00531558" w:rsidRPr="00C17BAC" w:rsidRDefault="00531558" w:rsidP="0053155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:rsidR="00531558" w:rsidRPr="00C17BAC" w:rsidRDefault="00531558" w:rsidP="002B527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  <w:sectPr w:rsidR="00531558" w:rsidRPr="00C17BAC" w:rsidSect="00F72970">
          <w:headerReference w:type="default" r:id="rId10"/>
          <w:type w:val="continuous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  <w:r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Інд.</w:t>
      </w:r>
      <w:r w:rsidRPr="00C17BAC">
        <w:rPr>
          <w:rFonts w:ascii="Times New Roman" w:eastAsia="SimSun" w:hAnsi="Times New Roman" w:cs="Times New Roman"/>
          <w:lang w:eastAsia="uk-UA"/>
        </w:rPr>
        <w:t xml:space="preserve"> </w:t>
      </w:r>
      <w:r w:rsidR="00EE3DF4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3</w:t>
      </w:r>
      <w:r w:rsidR="00863AFC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>3</w:t>
      </w:r>
    </w:p>
    <w:p w:rsidR="00863AFC" w:rsidRPr="00C17BAC" w:rsidRDefault="00863AFC" w:rsidP="00863AFC">
      <w:pPr>
        <w:spacing w:after="0" w:line="240" w:lineRule="auto"/>
        <w:ind w:left="225" w:right="225" w:firstLine="5445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lastRenderedPageBreak/>
        <w:t>ЗАТВЕРДЖЕНО</w:t>
      </w:r>
    </w:p>
    <w:p w:rsidR="00863AFC" w:rsidRPr="00C17BAC" w:rsidRDefault="00863AFC" w:rsidP="00863AFC">
      <w:pPr>
        <w:spacing w:after="0" w:line="240" w:lineRule="auto"/>
        <w:ind w:left="225" w:right="225" w:firstLine="5445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Постанова Правління </w:t>
      </w:r>
    </w:p>
    <w:p w:rsidR="00863AFC" w:rsidRPr="00C17BAC" w:rsidRDefault="00863AFC" w:rsidP="00863AFC">
      <w:pPr>
        <w:spacing w:after="0" w:line="240" w:lineRule="auto"/>
        <w:ind w:left="225" w:right="225" w:firstLine="5445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Національного банку України</w:t>
      </w:r>
    </w:p>
    <w:p w:rsidR="00863AFC" w:rsidRPr="00C17BAC" w:rsidRDefault="00857C1E" w:rsidP="00857C1E">
      <w:pPr>
        <w:spacing w:after="0" w:line="240" w:lineRule="auto"/>
        <w:ind w:left="5245" w:right="225"/>
        <w:jc w:val="center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2023 року</w:t>
      </w:r>
      <w:r>
        <w:rPr>
          <w:rFonts w:ascii="Times New Roman" w:hAnsi="Times New Roman"/>
          <w:sz w:val="28"/>
          <w:szCs w:val="28"/>
        </w:rPr>
        <w:t xml:space="preserve"> № 206</w:t>
      </w:r>
    </w:p>
    <w:p w:rsidR="00863AFC" w:rsidRDefault="00863AFC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</w:p>
    <w:p w:rsidR="002B527A" w:rsidRPr="00F72970" w:rsidRDefault="002B527A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bCs/>
          <w:sz w:val="20"/>
          <w:szCs w:val="20"/>
          <w:lang w:eastAsia="uk-UA"/>
        </w:rPr>
      </w:pPr>
    </w:p>
    <w:p w:rsidR="002B527A" w:rsidRDefault="00863AFC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Положення про </w:t>
      </w:r>
      <w:r w:rsidR="009C5D61"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 xml:space="preserve">особливості </w:t>
      </w:r>
    </w:p>
    <w:p w:rsidR="00863AFC" w:rsidRPr="00C17BAC" w:rsidRDefault="00863AFC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bCs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діяльності об’єднаних кредитних спілок</w:t>
      </w:r>
    </w:p>
    <w:p w:rsidR="00863AFC" w:rsidRPr="00C17BAC" w:rsidRDefault="00863AFC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:rsidR="00863AFC" w:rsidRPr="00C17BAC" w:rsidRDefault="00863AFC" w:rsidP="00DC221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  <w:lang w:eastAsia="uk-UA"/>
        </w:rPr>
      </w:pPr>
      <w:bookmarkStart w:id="1" w:name="n18"/>
      <w:bookmarkEnd w:id="1"/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>I</w:t>
      </w:r>
      <w:r w:rsidR="001040E5">
        <w:rPr>
          <w:rFonts w:ascii="Times New Roman" w:hAnsi="Times New Roman" w:cs="Times New Roman"/>
          <w:color w:val="auto"/>
          <w:sz w:val="28"/>
          <w:szCs w:val="32"/>
          <w:lang w:eastAsia="uk-UA"/>
        </w:rPr>
        <w:t>.</w:t>
      </w:r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Загальні положення</w:t>
      </w:r>
    </w:p>
    <w:p w:rsidR="00863AFC" w:rsidRPr="00C17BAC" w:rsidRDefault="00863AFC" w:rsidP="00863AFC">
      <w:pPr>
        <w:spacing w:after="0" w:line="240" w:lineRule="auto"/>
        <w:ind w:left="225" w:right="225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:rsidR="000E34DF" w:rsidRPr="00781607" w:rsidRDefault="00557A91" w:rsidP="0013075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2E74B5" w:themeColor="accent1" w:themeShade="BF"/>
          <w:sz w:val="28"/>
          <w:szCs w:val="28"/>
          <w:lang w:eastAsia="uk-UA"/>
        </w:rPr>
      </w:pPr>
      <w:bookmarkStart w:id="2" w:name="n19"/>
      <w:bookmarkEnd w:id="2"/>
      <w:r>
        <w:rPr>
          <w:rFonts w:ascii="Times New Roman" w:eastAsia="SimSun" w:hAnsi="Times New Roman" w:cs="Times New Roman"/>
          <w:sz w:val="28"/>
          <w:szCs w:val="28"/>
          <w:lang w:val="ru-RU" w:eastAsia="uk-UA"/>
        </w:rPr>
        <w:t> </w:t>
      </w:r>
      <w:r w:rsidR="00863AFC" w:rsidRPr="00C17BA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Це 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Положення розроблене відповідно до Законів України </w:t>
      </w:r>
      <w:r w:rsidR="00BC43D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“Про Національний банк України”, 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“Про фінансові послуги та фінансові компанії”, </w:t>
      </w:r>
      <w:r w:rsidR="002713C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Закону України 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“Про кредитні спілки” </w:t>
      </w:r>
      <w:r w:rsidR="000E34DF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(далі – Закон про кредитні спілки)</w:t>
      </w:r>
      <w:r w:rsidR="002713C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7A5EA0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 метою забезпечення фінансової </w:t>
      </w:r>
      <w:r w:rsidR="007A72C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стійкості членів об’єднаних</w:t>
      </w:r>
      <w:r w:rsidR="00413443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кредитних спілок, </w:t>
      </w:r>
      <w:r w:rsidR="005943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6121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5943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ідтримки</w:t>
      </w:r>
      <w:r w:rsidR="00C6121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платоспроможності</w:t>
      </w:r>
      <w:r w:rsidR="005943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ліквідн</w:t>
      </w:r>
      <w:r w:rsidR="00C6121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ості членів об’єднаної кредитної спілки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943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здійснення контролю </w:t>
      </w:r>
      <w:r w:rsidR="00753B32" w:rsidRPr="00753B32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за додержанням законодавства кредитними спілками, які є членами об’єднаної кредитної спілки</w:t>
      </w:r>
      <w:r w:rsidR="009C1D96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(далі – члени об’єднаної кредитної спілки)</w:t>
      </w:r>
      <w:r w:rsidR="00863AF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63AFC" w:rsidRPr="00C17BAC" w:rsidRDefault="00863AFC" w:rsidP="00781607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2E74B5" w:themeColor="accent1" w:themeShade="BF"/>
          <w:sz w:val="28"/>
          <w:szCs w:val="28"/>
          <w:lang w:eastAsia="uk-UA"/>
        </w:rPr>
      </w:pPr>
    </w:p>
    <w:p w:rsidR="000E34DF" w:rsidRDefault="00557A91" w:rsidP="000E34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0E34DF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Терміни в цьому Положенні 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22489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живаються </w:t>
      </w:r>
      <w:r w:rsidR="000E34DF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 таких значеннях:</w:t>
      </w:r>
    </w:p>
    <w:p w:rsidR="000E34DF" w:rsidRPr="004541CA" w:rsidRDefault="000E34DF" w:rsidP="00781607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E34DF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Pr="004541CA">
        <w:rPr>
          <w:color w:val="auto"/>
          <w:sz w:val="28"/>
          <w:szCs w:val="28"/>
        </w:rPr>
        <w:t xml:space="preserve">вільні кошти </w:t>
      </w:r>
      <w:r w:rsidR="00DF6896">
        <w:rPr>
          <w:color w:val="auto"/>
          <w:sz w:val="28"/>
          <w:szCs w:val="28"/>
        </w:rPr>
        <w:t>ф</w:t>
      </w:r>
      <w:r w:rsidR="00DF6896" w:rsidRPr="004541CA">
        <w:rPr>
          <w:color w:val="auto"/>
          <w:sz w:val="28"/>
          <w:szCs w:val="28"/>
        </w:rPr>
        <w:t xml:space="preserve">онду </w:t>
      </w:r>
      <w:r w:rsidRPr="004541CA">
        <w:rPr>
          <w:color w:val="auto"/>
          <w:sz w:val="28"/>
          <w:szCs w:val="28"/>
        </w:rPr>
        <w:t xml:space="preserve">підтримки ліквідності – кошти </w:t>
      </w:r>
      <w:r w:rsidR="00DF6896">
        <w:rPr>
          <w:color w:val="auto"/>
          <w:sz w:val="28"/>
          <w:szCs w:val="28"/>
        </w:rPr>
        <w:t>фонд</w:t>
      </w:r>
      <w:r w:rsidRPr="004541CA">
        <w:rPr>
          <w:color w:val="auto"/>
          <w:sz w:val="28"/>
          <w:szCs w:val="28"/>
        </w:rPr>
        <w:t xml:space="preserve">у </w:t>
      </w:r>
      <w:r w:rsidRPr="004541CA">
        <w:rPr>
          <w:color w:val="auto"/>
          <w:sz w:val="28"/>
        </w:rPr>
        <w:t>підтримки ліквідності</w:t>
      </w:r>
      <w:r w:rsidR="00224896">
        <w:rPr>
          <w:color w:val="auto"/>
          <w:sz w:val="28"/>
        </w:rPr>
        <w:t>,</w:t>
      </w:r>
      <w:r w:rsidRPr="004541CA">
        <w:rPr>
          <w:color w:val="auto"/>
          <w:sz w:val="28"/>
          <w:szCs w:val="28"/>
        </w:rPr>
        <w:t xml:space="preserve"> щодо яких об’єднана кредитна спілка може прийняти рішення про направлення своїм членам на підтримку ліквідності в </w:t>
      </w:r>
      <w:r w:rsidR="00224896">
        <w:rPr>
          <w:color w:val="auto"/>
          <w:sz w:val="28"/>
          <w:szCs w:val="28"/>
        </w:rPr>
        <w:t>межах</w:t>
      </w:r>
      <w:r w:rsidR="00224896" w:rsidRPr="004541CA">
        <w:rPr>
          <w:color w:val="auto"/>
          <w:sz w:val="28"/>
          <w:szCs w:val="28"/>
        </w:rPr>
        <w:t xml:space="preserve"> </w:t>
      </w:r>
      <w:r w:rsidRPr="004541CA">
        <w:rPr>
          <w:color w:val="auto"/>
          <w:sz w:val="28"/>
          <w:szCs w:val="28"/>
        </w:rPr>
        <w:t>роботи системи підтримки ліквідності членів об’єднаної кредитної спілки;</w:t>
      </w:r>
    </w:p>
    <w:p w:rsidR="000E34DF" w:rsidRPr="004541CA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0E34DF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</w:t>
      </w:r>
      <w:r w:rsidRPr="004541CA">
        <w:rPr>
          <w:color w:val="auto"/>
          <w:sz w:val="28"/>
          <w:szCs w:val="28"/>
        </w:rPr>
        <w:t xml:space="preserve">вільні кошти </w:t>
      </w:r>
      <w:r w:rsidR="00DF6896">
        <w:rPr>
          <w:color w:val="auto"/>
          <w:sz w:val="28"/>
          <w:szCs w:val="28"/>
        </w:rPr>
        <w:t>фонд</w:t>
      </w:r>
      <w:r w:rsidRPr="004541CA">
        <w:rPr>
          <w:color w:val="auto"/>
          <w:sz w:val="28"/>
          <w:szCs w:val="28"/>
        </w:rPr>
        <w:t xml:space="preserve">у стабілізації – кошти </w:t>
      </w:r>
      <w:r w:rsidR="00DF6896">
        <w:rPr>
          <w:color w:val="auto"/>
          <w:sz w:val="28"/>
          <w:szCs w:val="28"/>
        </w:rPr>
        <w:t>фонд</w:t>
      </w:r>
      <w:r w:rsidRPr="004541CA">
        <w:rPr>
          <w:color w:val="auto"/>
          <w:sz w:val="28"/>
          <w:szCs w:val="28"/>
        </w:rPr>
        <w:t>у стабілізації об’єднаної кредитної спілки, за ви</w:t>
      </w:r>
      <w:r w:rsidR="00224896">
        <w:rPr>
          <w:color w:val="auto"/>
          <w:sz w:val="28"/>
          <w:szCs w:val="28"/>
        </w:rPr>
        <w:t>нятком</w:t>
      </w:r>
      <w:r w:rsidRPr="004541CA">
        <w:rPr>
          <w:color w:val="auto"/>
          <w:sz w:val="28"/>
          <w:szCs w:val="28"/>
        </w:rPr>
        <w:t xml:space="preserve"> коштів, наданих членам об’єднаної кредитної спілки на умовах субординованого боргу, щодо яких</w:t>
      </w:r>
      <w:r w:rsidRPr="00C17BAC">
        <w:rPr>
          <w:color w:val="auto"/>
          <w:sz w:val="28"/>
          <w:szCs w:val="28"/>
        </w:rPr>
        <w:t xml:space="preserve"> об’єднана кредитна спілка може прийняти рішення про направлення їх для відновлення платоспроможності своїх членів; </w:t>
      </w:r>
    </w:p>
    <w:p w:rsidR="000E34DF" w:rsidRPr="00C17BAC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0E34DF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Pr="00C17BAC">
        <w:rPr>
          <w:color w:val="auto"/>
          <w:sz w:val="28"/>
          <w:szCs w:val="28"/>
        </w:rPr>
        <w:t xml:space="preserve">комітет </w:t>
      </w:r>
      <w:r w:rsidR="00DF6896">
        <w:rPr>
          <w:color w:val="auto"/>
          <w:sz w:val="28"/>
          <w:szCs w:val="28"/>
        </w:rPr>
        <w:t>фонд</w:t>
      </w:r>
      <w:r w:rsidRPr="00C17BAC">
        <w:rPr>
          <w:color w:val="auto"/>
          <w:sz w:val="28"/>
          <w:szCs w:val="28"/>
        </w:rPr>
        <w:t xml:space="preserve">у стабілізації – спеціально створений комітет при </w:t>
      </w:r>
      <w:r w:rsidR="00AD7189">
        <w:rPr>
          <w:color w:val="auto"/>
          <w:sz w:val="28"/>
          <w:szCs w:val="28"/>
        </w:rPr>
        <w:t xml:space="preserve">наглядовій </w:t>
      </w:r>
      <w:r w:rsidRPr="00C17BAC">
        <w:rPr>
          <w:color w:val="auto"/>
          <w:sz w:val="28"/>
          <w:szCs w:val="28"/>
        </w:rPr>
        <w:t xml:space="preserve">раді об’єднаної кредитної спілки, який здійснює управління </w:t>
      </w:r>
      <w:r w:rsidR="00DF6896">
        <w:rPr>
          <w:color w:val="auto"/>
          <w:sz w:val="28"/>
          <w:szCs w:val="28"/>
        </w:rPr>
        <w:t>фонд</w:t>
      </w:r>
      <w:r w:rsidRPr="00C17BAC">
        <w:rPr>
          <w:color w:val="auto"/>
          <w:sz w:val="28"/>
          <w:szCs w:val="28"/>
        </w:rPr>
        <w:t xml:space="preserve">ом стабілізації </w:t>
      </w: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Pr="00C17BAC" w:rsidDel="00190E1E">
        <w:rPr>
          <w:color w:val="auto"/>
          <w:sz w:val="28"/>
          <w:szCs w:val="28"/>
        </w:rPr>
        <w:t xml:space="preserve"> </w:t>
      </w:r>
      <w:r w:rsidRPr="00C17BAC">
        <w:rPr>
          <w:color w:val="auto"/>
          <w:sz w:val="28"/>
          <w:szCs w:val="28"/>
        </w:rPr>
        <w:t>та приймає рішення щодо використання його коштів;</w:t>
      </w:r>
    </w:p>
    <w:p w:rsidR="000E34DF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0E34DF" w:rsidRDefault="000E34DF" w:rsidP="000E34DF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781607">
        <w:rPr>
          <w:rFonts w:eastAsia="SimSun"/>
          <w:color w:val="000000" w:themeColor="text1"/>
          <w:sz w:val="28"/>
          <w:szCs w:val="28"/>
          <w:lang w:eastAsia="uk-UA"/>
        </w:rPr>
        <w:t>4) об</w:t>
      </w:r>
      <w:r w:rsidR="00224896">
        <w:rPr>
          <w:rFonts w:eastAsia="SimSun"/>
          <w:color w:val="000000" w:themeColor="text1"/>
          <w:sz w:val="28"/>
          <w:szCs w:val="28"/>
          <w:lang w:eastAsia="uk-UA"/>
        </w:rPr>
        <w:t>’</w:t>
      </w:r>
      <w:r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єднана кредитна </w:t>
      </w:r>
      <w:r w:rsidR="00B06D9B" w:rsidRPr="00781607">
        <w:rPr>
          <w:rFonts w:eastAsia="SimSun"/>
          <w:color w:val="000000" w:themeColor="text1"/>
          <w:sz w:val="28"/>
          <w:szCs w:val="28"/>
          <w:lang w:eastAsia="uk-UA"/>
        </w:rPr>
        <w:t>спілк</w:t>
      </w:r>
      <w:r w:rsidR="00B06D9B">
        <w:rPr>
          <w:rFonts w:eastAsia="SimSun"/>
          <w:color w:val="000000" w:themeColor="text1"/>
          <w:sz w:val="28"/>
          <w:szCs w:val="28"/>
          <w:lang w:eastAsia="uk-UA"/>
        </w:rPr>
        <w:t>а</w:t>
      </w:r>
      <w:r w:rsidR="00B06D9B"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– кредитна спілка, заснована іншими кредитними спілками на кооперативних засадах </w:t>
      </w:r>
      <w:r w:rsidR="00224896">
        <w:rPr>
          <w:rFonts w:eastAsia="SimSun"/>
          <w:color w:val="000000" w:themeColor="text1"/>
          <w:sz w:val="28"/>
          <w:szCs w:val="28"/>
          <w:lang w:eastAsia="uk-UA"/>
        </w:rPr>
        <w:t>і</w:t>
      </w:r>
      <w:r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з метою сприяння фінансовій стійкості таких кредитних спілок, здійснення діяльності відповідно до Закону про кредитні спілки, що отримала ліцензію на здійснення діяльності кредитної спілки </w:t>
      </w:r>
      <w:r w:rsidR="00224896">
        <w:rPr>
          <w:rFonts w:eastAsia="SimSun"/>
          <w:color w:val="000000" w:themeColor="text1"/>
          <w:sz w:val="28"/>
          <w:szCs w:val="28"/>
          <w:lang w:eastAsia="uk-UA"/>
        </w:rPr>
        <w:t>в</w:t>
      </w:r>
      <w:r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 порядку, </w:t>
      </w:r>
      <w:r w:rsidR="002713C5">
        <w:rPr>
          <w:rFonts w:eastAsia="SimSun"/>
          <w:color w:val="000000" w:themeColor="text1"/>
          <w:sz w:val="28"/>
          <w:szCs w:val="28"/>
          <w:lang w:eastAsia="uk-UA"/>
        </w:rPr>
        <w:t>визначеному</w:t>
      </w:r>
      <w:r w:rsidR="002713C5" w:rsidRPr="00781607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Pr="00781607">
        <w:rPr>
          <w:rFonts w:eastAsia="SimSun"/>
          <w:color w:val="000000" w:themeColor="text1"/>
          <w:sz w:val="28"/>
          <w:szCs w:val="28"/>
          <w:lang w:eastAsia="uk-UA"/>
        </w:rPr>
        <w:t>Законом про кредитні спілки;</w:t>
      </w:r>
    </w:p>
    <w:p w:rsidR="000E34DF" w:rsidRPr="00781607" w:rsidRDefault="000E34DF" w:rsidP="000E34DF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0E34DF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5) </w:t>
      </w:r>
      <w:r w:rsidR="00DF6896">
        <w:rPr>
          <w:color w:val="auto"/>
          <w:sz w:val="28"/>
          <w:szCs w:val="28"/>
        </w:rPr>
        <w:t>фонд</w:t>
      </w:r>
      <w:r w:rsidRPr="00C17BAC">
        <w:rPr>
          <w:color w:val="auto"/>
          <w:sz w:val="28"/>
          <w:szCs w:val="28"/>
        </w:rPr>
        <w:t xml:space="preserve"> підтримки ліквідності</w:t>
      </w:r>
      <w:r w:rsidR="00224896">
        <w:rPr>
          <w:color w:val="auto"/>
          <w:sz w:val="28"/>
          <w:szCs w:val="28"/>
        </w:rPr>
        <w:t xml:space="preserve"> </w:t>
      </w:r>
      <w:r w:rsidRPr="00C17BAC">
        <w:rPr>
          <w:color w:val="auto"/>
          <w:sz w:val="28"/>
          <w:szCs w:val="28"/>
        </w:rPr>
        <w:t xml:space="preserve">– </w:t>
      </w:r>
      <w:r w:rsidR="00AC0739" w:rsidRPr="00AC0739">
        <w:rPr>
          <w:color w:val="auto"/>
          <w:sz w:val="28"/>
          <w:szCs w:val="28"/>
        </w:rPr>
        <w:t>створений об’єднаною кредитною спілкою фонд, кошти якого</w:t>
      </w:r>
      <w:r w:rsidRPr="00C17BAC">
        <w:rPr>
          <w:color w:val="auto"/>
          <w:sz w:val="28"/>
          <w:szCs w:val="28"/>
        </w:rPr>
        <w:t xml:space="preserve"> </w:t>
      </w:r>
      <w:r w:rsidR="00F72970">
        <w:rPr>
          <w:color w:val="auto"/>
          <w:sz w:val="28"/>
          <w:szCs w:val="28"/>
        </w:rPr>
        <w:t>розміщені</w:t>
      </w:r>
      <w:r w:rsidR="00F72970" w:rsidRPr="00C17BAC">
        <w:rPr>
          <w:color w:val="auto"/>
          <w:sz w:val="28"/>
          <w:szCs w:val="28"/>
        </w:rPr>
        <w:t xml:space="preserve"> </w:t>
      </w:r>
      <w:r w:rsidRPr="00C17BAC">
        <w:rPr>
          <w:color w:val="auto"/>
          <w:sz w:val="28"/>
          <w:szCs w:val="28"/>
        </w:rPr>
        <w:t xml:space="preserve">в ліквідних активах об’єднаної кредитної спілки </w:t>
      </w:r>
      <w:r w:rsidR="00AC0739" w:rsidRPr="00373CF5">
        <w:rPr>
          <w:color w:val="auto"/>
          <w:sz w:val="28"/>
          <w:szCs w:val="28"/>
        </w:rPr>
        <w:t>та/або кредитах членам об’єднаної кредитної спілки, наданих виключно для підтримки їх ліквідності</w:t>
      </w:r>
      <w:r w:rsidR="00AC0739" w:rsidRPr="00C17BAC">
        <w:rPr>
          <w:color w:val="auto"/>
          <w:sz w:val="28"/>
          <w:szCs w:val="28"/>
        </w:rPr>
        <w:t xml:space="preserve"> </w:t>
      </w:r>
      <w:r w:rsidR="00224896">
        <w:rPr>
          <w:color w:val="auto"/>
          <w:sz w:val="28"/>
          <w:szCs w:val="28"/>
        </w:rPr>
        <w:t>в межах</w:t>
      </w:r>
      <w:r w:rsidRPr="00C17BAC">
        <w:rPr>
          <w:color w:val="auto"/>
          <w:sz w:val="28"/>
          <w:szCs w:val="28"/>
        </w:rPr>
        <w:t xml:space="preserve"> системи підтримки ліквідності членів об’єднаної кредитної спілки; </w:t>
      </w:r>
    </w:p>
    <w:p w:rsidR="000E34DF" w:rsidRPr="00C17BAC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0E34DF" w:rsidRPr="00C17BAC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  <w:lang w:val="en-US"/>
        </w:rPr>
        <w:t> </w:t>
      </w:r>
      <w:r w:rsidR="00DF6896">
        <w:rPr>
          <w:color w:val="auto"/>
          <w:sz w:val="28"/>
          <w:szCs w:val="28"/>
        </w:rPr>
        <w:t>фонд</w:t>
      </w:r>
      <w:r w:rsidRPr="00C17BAC">
        <w:rPr>
          <w:color w:val="auto"/>
          <w:sz w:val="28"/>
          <w:szCs w:val="28"/>
        </w:rPr>
        <w:t xml:space="preserve"> стабілізації – </w:t>
      </w:r>
      <w:r w:rsidR="00B92F6A" w:rsidRPr="00AC0739">
        <w:rPr>
          <w:color w:val="auto"/>
          <w:sz w:val="28"/>
          <w:szCs w:val="28"/>
        </w:rPr>
        <w:t>створений об’єднаною кредитною спілкою фонд, кошти якого</w:t>
      </w:r>
      <w:r w:rsidR="00B92F6A">
        <w:rPr>
          <w:color w:val="auto"/>
          <w:sz w:val="28"/>
          <w:szCs w:val="28"/>
        </w:rPr>
        <w:t xml:space="preserve"> </w:t>
      </w:r>
      <w:r w:rsidRPr="00C17BAC">
        <w:rPr>
          <w:color w:val="auto"/>
          <w:sz w:val="28"/>
          <w:szCs w:val="28"/>
        </w:rPr>
        <w:t xml:space="preserve">акумульовані об’єднаною кредитною спілкою на </w:t>
      </w:r>
      <w:r w:rsidR="000D08DF" w:rsidRPr="00C17BAC">
        <w:rPr>
          <w:color w:val="auto"/>
          <w:sz w:val="28"/>
          <w:szCs w:val="28"/>
        </w:rPr>
        <w:t>банківськ</w:t>
      </w:r>
      <w:r w:rsidR="000D08DF">
        <w:rPr>
          <w:color w:val="auto"/>
          <w:sz w:val="28"/>
          <w:szCs w:val="28"/>
        </w:rPr>
        <w:t>их</w:t>
      </w:r>
      <w:r w:rsidR="000D08DF" w:rsidRPr="00C17BAC">
        <w:rPr>
          <w:color w:val="auto"/>
          <w:sz w:val="28"/>
          <w:szCs w:val="28"/>
        </w:rPr>
        <w:t xml:space="preserve"> рахунк</w:t>
      </w:r>
      <w:r w:rsidR="000D08DF">
        <w:rPr>
          <w:color w:val="auto"/>
          <w:sz w:val="28"/>
          <w:szCs w:val="28"/>
        </w:rPr>
        <w:t>ах</w:t>
      </w:r>
      <w:r w:rsidR="000D08DF" w:rsidRPr="00C17BAC">
        <w:rPr>
          <w:color w:val="auto"/>
          <w:sz w:val="28"/>
          <w:szCs w:val="28"/>
        </w:rPr>
        <w:t xml:space="preserve"> </w:t>
      </w:r>
      <w:r w:rsidRPr="00C17BAC">
        <w:rPr>
          <w:color w:val="auto"/>
          <w:sz w:val="28"/>
          <w:szCs w:val="28"/>
        </w:rPr>
        <w:t>об’єднаної кредитної спілки, для відновлення платоспроможності членів об’єднаної кредитної спілки</w:t>
      </w:r>
      <w:r w:rsidR="000D08DF">
        <w:rPr>
          <w:color w:val="auto"/>
          <w:sz w:val="28"/>
          <w:szCs w:val="28"/>
        </w:rPr>
        <w:t xml:space="preserve">, </w:t>
      </w:r>
      <w:r w:rsidR="000D08DF" w:rsidRPr="00373CF5">
        <w:rPr>
          <w:color w:val="auto"/>
          <w:sz w:val="28"/>
          <w:szCs w:val="28"/>
        </w:rPr>
        <w:t>та відокремлені від інших активів об’єднаної кредитної спілки</w:t>
      </w:r>
      <w:r w:rsidR="00224896">
        <w:rPr>
          <w:color w:val="auto"/>
          <w:sz w:val="28"/>
          <w:szCs w:val="28"/>
        </w:rPr>
        <w:t>.</w:t>
      </w:r>
    </w:p>
    <w:p w:rsidR="000E34DF" w:rsidRPr="00C17BAC" w:rsidRDefault="000E34DF" w:rsidP="000E34D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17BAC">
        <w:rPr>
          <w:color w:val="auto"/>
          <w:sz w:val="28"/>
          <w:szCs w:val="28"/>
        </w:rPr>
        <w:t xml:space="preserve">Інші терміни, що використовуються в цьому Положенні, </w:t>
      </w:r>
      <w:r w:rsidR="00224896">
        <w:rPr>
          <w:color w:val="auto"/>
          <w:sz w:val="28"/>
          <w:szCs w:val="28"/>
        </w:rPr>
        <w:t>у</w:t>
      </w:r>
      <w:r w:rsidRPr="00C17BAC">
        <w:rPr>
          <w:color w:val="auto"/>
          <w:sz w:val="28"/>
          <w:szCs w:val="28"/>
        </w:rPr>
        <w:t>живаються в значеннях, визначених у Законі про кредитні спілки та інших законодавчих актах України і нормативно-правових актах Національного банку</w:t>
      </w:r>
      <w:r w:rsidR="00E42405" w:rsidRPr="00781607">
        <w:rPr>
          <w:color w:val="auto"/>
          <w:sz w:val="28"/>
          <w:szCs w:val="28"/>
          <w:lang w:val="ru-RU"/>
        </w:rPr>
        <w:t xml:space="preserve"> </w:t>
      </w:r>
      <w:r w:rsidR="00E42405">
        <w:rPr>
          <w:color w:val="auto"/>
          <w:sz w:val="28"/>
          <w:szCs w:val="28"/>
          <w:lang w:val="ru-RU"/>
        </w:rPr>
        <w:t xml:space="preserve">України </w:t>
      </w:r>
      <w:r w:rsidR="00E42405" w:rsidRPr="004541CA">
        <w:rPr>
          <w:rFonts w:eastAsia="SimSun"/>
          <w:color w:val="000000" w:themeColor="text1"/>
          <w:sz w:val="28"/>
          <w:szCs w:val="28"/>
          <w:lang w:eastAsia="uk-UA"/>
        </w:rPr>
        <w:t>(далі – Національний банк)</w:t>
      </w:r>
      <w:r w:rsidRPr="00C17BAC">
        <w:rPr>
          <w:color w:val="auto"/>
          <w:sz w:val="28"/>
          <w:szCs w:val="28"/>
        </w:rPr>
        <w:t>.</w:t>
      </w:r>
    </w:p>
    <w:p w:rsidR="00330B52" w:rsidRPr="00F72970" w:rsidRDefault="00330B52" w:rsidP="007479C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:rsidR="005960A8" w:rsidRPr="004541CA" w:rsidRDefault="00557A91" w:rsidP="0033113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368A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цього </w:t>
      </w:r>
      <w:r w:rsidR="005C66E3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Положення поширю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ю</w:t>
      </w:r>
      <w:r w:rsidR="005C66E3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ться на </w:t>
      </w:r>
      <w:r w:rsidR="001E3DF1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об’єднані кредитні спілки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873978" w:rsidRPr="000E34DF" w:rsidRDefault="00873978" w:rsidP="00781607">
      <w:pPr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0E34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873978" w:rsidRPr="004541CA" w:rsidRDefault="00557A91" w:rsidP="0087397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єднана кредитна спілка 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діє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 до Закону про кредитні спілки та має право:</w:t>
      </w:r>
    </w:p>
    <w:p w:rsidR="00873978" w:rsidRDefault="00873978" w:rsidP="00873978">
      <w:pPr>
        <w:spacing w:after="0" w:line="240" w:lineRule="auto"/>
        <w:ind w:left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68386A" w:rsidRDefault="0068386A" w:rsidP="00373CF5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 надавати фінансові послуги із залучення коштів та банківських металів, що підлягають поверненню, та надання коштів та банківських металів у кредит лише кредитним спілкам, які є її членами;</w:t>
      </w:r>
    </w:p>
    <w:p w:rsidR="0068386A" w:rsidRPr="00373CF5" w:rsidRDefault="0068386A" w:rsidP="00373CF5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68386A" w:rsidRPr="00373CF5" w:rsidRDefault="0068386A" w:rsidP="00373CF5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 надавати окремі види фінансових платіжних послуг членам кредитних спілок, які є членами об’єднаної кредитної спілки;</w:t>
      </w:r>
    </w:p>
    <w:p w:rsidR="0068386A" w:rsidRPr="004541CA" w:rsidRDefault="0068386A" w:rsidP="00873978">
      <w:pPr>
        <w:spacing w:after="0" w:line="240" w:lineRule="auto"/>
        <w:ind w:left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73978" w:rsidRPr="004541CA" w:rsidRDefault="0068386A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 забезпечувати роботу системи з підтримки ліквідності членів об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єднаної кредитної спілки з урахуванням вимог, встановлених цим Положенням;</w:t>
      </w:r>
    </w:p>
    <w:p w:rsidR="00873978" w:rsidRPr="004541CA" w:rsidRDefault="00873978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73978" w:rsidRPr="004541CA" w:rsidRDefault="0068386A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1315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873978" w:rsidRPr="004541CA">
        <w:t> </w:t>
      </w:r>
      <w:r w:rsidR="000E34DF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створ</w:t>
      </w:r>
      <w:r w:rsidR="000E34DF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ювати</w:t>
      </w:r>
      <w:r w:rsidR="000E34DF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 стабілізації та підтриму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вати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фінансов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стійк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членів об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єднаної кредитної спілки з урахуванням вимог, встановлених цим Положенням;</w:t>
      </w:r>
    </w:p>
    <w:p w:rsidR="00873978" w:rsidRPr="004541CA" w:rsidRDefault="00873978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73978" w:rsidRPr="004541CA" w:rsidRDefault="0068386A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1316"/>
      <w:bookmarkEnd w:id="3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) представляти інтереси кредитних спілок 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 питань їх реєстрації та ліцензування за умови прийняття відповідного рішення установчими (загальними) зборами кредитної спілки;</w:t>
      </w:r>
    </w:p>
    <w:p w:rsidR="00873978" w:rsidRPr="004541CA" w:rsidRDefault="00873978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331132" w:rsidRDefault="0068386A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5" w:name="1317"/>
      <w:bookmarkEnd w:id="4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 надавати кредитним спілкам</w:t>
      </w:r>
      <w:r w:rsidR="009C1D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 членам об’єднаної кредитної спілки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послуги з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здійснення за договором </w:t>
      </w:r>
      <w:proofErr w:type="spellStart"/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аутсорсингу</w:t>
      </w:r>
      <w:proofErr w:type="spellEnd"/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ключових функцій, окремих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завдань </w:t>
      </w:r>
      <w:r w:rsidR="00224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22489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процесів у межах здійснення таких функцій відповідно до статті 29 </w:t>
      </w:r>
      <w:r w:rsidR="0016100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Закону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про кредитні спілки</w:t>
      </w:r>
      <w:r w:rsidR="006763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73978" w:rsidRPr="004541CA" w:rsidRDefault="00873978" w:rsidP="00873978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bookmarkEnd w:id="5"/>
    <w:p w:rsidR="00873978" w:rsidRPr="004541CA" w:rsidRDefault="00557A91" w:rsidP="0087397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Кількість засновників об’єднаної кредитної спілки </w:t>
      </w:r>
      <w:r w:rsidR="00331132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повинна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бути </w:t>
      </w:r>
      <w:r w:rsidR="00331132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не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менш</w:t>
      </w:r>
      <w:r w:rsidR="00331132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е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20 кредитних спілок.</w:t>
      </w:r>
    </w:p>
    <w:p w:rsidR="00873978" w:rsidRPr="004541CA" w:rsidRDefault="00873978" w:rsidP="00331132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73978" w:rsidRPr="004541CA" w:rsidRDefault="00557A91" w:rsidP="0087397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єднана кредитна спілка отримує ліцензію на діяльн</w:t>
      </w:r>
      <w:r w:rsidR="00E16A4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</w:t>
      </w:r>
      <w:r w:rsidR="00E16A4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кредитної спілки 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порядку, 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визначеному</w:t>
      </w:r>
      <w:r w:rsidR="008D131A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Законом про кредитні спілки та нормативно-прав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ов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им </w:t>
      </w:r>
      <w:r w:rsidR="007962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акт</w:t>
      </w:r>
      <w:r w:rsidR="007962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ом</w:t>
      </w:r>
      <w:r w:rsidR="007962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Національного банку, що </w:t>
      </w:r>
      <w:r w:rsidR="007962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регулю</w:t>
      </w:r>
      <w:r w:rsidR="007962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7962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питання авторизації надавачів фінансових послуг</w:t>
      </w:r>
      <w:r w:rsidR="00E003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003CF" w:rsidRPr="00E003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 умови здійснення ними діяльності</w:t>
      </w:r>
      <w:r w:rsidR="00873978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35A2A" w:rsidRPr="004541CA" w:rsidRDefault="00935A2A" w:rsidP="00331132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935A2A" w:rsidRPr="004541CA" w:rsidRDefault="00557A91" w:rsidP="00747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="00935A2A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935A2A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єднана кредитна спілка створюється на підставі рішення установчих зборів її засновників.</w:t>
      </w:r>
    </w:p>
    <w:p w:rsidR="00935A2A" w:rsidRPr="004541CA" w:rsidRDefault="00935A2A" w:rsidP="007479CB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935A2A" w:rsidRPr="004541CA" w:rsidRDefault="00557A91" w:rsidP="0033113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935A2A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Засновники об’єднаної кредитної спілки набувають статусу членів об’єднаної кредитної спілки після її державної реєстрації і повної сплати вступного та обов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935A2A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язкового пайових внесків у порядку, встановленому Законом про кредитні спілки та статутом об’єднаної кредитної спілки.</w:t>
      </w:r>
    </w:p>
    <w:p w:rsidR="00935A2A" w:rsidRPr="004541CA" w:rsidRDefault="00935A2A" w:rsidP="00331132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Повноваження засновника об’єднаної кредитної спілки закінчуються після державної реєстрації об’єднаної кредитної спілки в порядку, </w:t>
      </w:r>
      <w:r w:rsidR="00677D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визначеному</w:t>
      </w:r>
      <w:r w:rsidR="00677D5D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Законом України 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“</w:t>
      </w:r>
      <w:r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Про державну реєстрацію юридичних осіб, фізичних осіб-підприємців та громадських формувань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”</w:t>
      </w:r>
      <w:r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B75E5" w:rsidRPr="004541CA" w:rsidRDefault="00AB75E5" w:rsidP="00331132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61D86" w:rsidRPr="004541CA" w:rsidRDefault="00557A91" w:rsidP="0078160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F61D8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F61D8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єднана кредитна спілка має право надавати фінансові послуги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 які були включені до ліцензії на діяльність кредитної спілки, відповідно до нормативно-</w:t>
      </w:r>
      <w:r w:rsidR="00E42405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правов</w:t>
      </w:r>
      <w:r w:rsidR="00E4240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="00E42405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акт</w:t>
      </w:r>
      <w:r w:rsidR="00E4240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E42405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Національного банку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що </w:t>
      </w:r>
      <w:r w:rsidR="00E42405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регулю</w:t>
      </w:r>
      <w:r w:rsidR="00E4240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E42405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питання авторизації надавачів фінансових послуг</w:t>
      </w:r>
      <w:r w:rsidR="00E003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003CF" w:rsidRPr="00E003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 умови здійснення ними діяльності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F61D8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лише кред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итним спілкам, які є її членами, а у випадках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F24D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5F24D9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законодавством</w:t>
      </w:r>
      <w:r w:rsidR="00862D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України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– членам кредитних спілок, які є членами 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954DF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єднаної кредитної спілки.</w:t>
      </w:r>
    </w:p>
    <w:p w:rsidR="00E576D7" w:rsidRPr="004541CA" w:rsidRDefault="00E576D7" w:rsidP="00781607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6" w:name="1311"/>
    </w:p>
    <w:p w:rsidR="00E576D7" w:rsidRPr="004541CA" w:rsidRDefault="00557A91" w:rsidP="0078160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1323"/>
      <w:bookmarkEnd w:id="6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E576D7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Членом 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E576D7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єднаної кредитної спілки має право стати кредитна спілка, що відповідає вимогам, установленим статутом об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E576D7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єднаної кредитної спілки</w:t>
      </w:r>
      <w:r w:rsidR="00182DA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та має ліцензію на </w:t>
      </w:r>
      <w:r w:rsidR="00953E6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діяльність</w:t>
      </w:r>
      <w:r w:rsidR="00182DA6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кредитної спілки</w:t>
      </w:r>
      <w:r w:rsidR="00E576D7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53E6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708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Ч</w:t>
      </w:r>
      <w:r w:rsidR="0067085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ленство кредитних спілок в об’єднаних кредитних спілках є обов’язковим </w:t>
      </w:r>
      <w:r w:rsidR="006708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67085E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53E6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випадках</w:t>
      </w:r>
      <w:r w:rsidR="00862D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53E6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F24D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5F24D9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53E6C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законодавством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України</w:t>
      </w:r>
      <w:r w:rsidR="007479C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bookmarkEnd w:id="7"/>
    <w:p w:rsidR="00601C9E" w:rsidRPr="004541CA" w:rsidRDefault="00601C9E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396FBB" w:rsidRPr="004541CA" w:rsidRDefault="00557A91" w:rsidP="0033113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396F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Об’єднані кредитні спілки </w:t>
      </w:r>
      <w:r w:rsidR="00DA5119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здійснюють діяльність на підставі статуту об’єднаної кредитної спілки відповідно до Закону про кредитні спілки та </w:t>
      </w:r>
      <w:r w:rsidR="00396F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повинні дотримуватися вимог нормативно-правових актів Національного банку щодо </w:t>
      </w:r>
      <w:r w:rsidR="002956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питань </w:t>
      </w:r>
      <w:r w:rsidR="00396F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регулювання діяльності кредитних спілок</w:t>
      </w:r>
      <w:r w:rsidR="000C32F0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56B3D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0C32F0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цього Положення</w:t>
      </w:r>
      <w:r w:rsidR="00396FBB" w:rsidRPr="004541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50BAA" w:rsidRPr="00C17BAC" w:rsidRDefault="00E50BAA" w:rsidP="007479CB">
      <w:pPr>
        <w:pStyle w:val="Default"/>
        <w:spacing w:after="120"/>
        <w:ind w:firstLine="567"/>
        <w:contextualSpacing/>
        <w:jc w:val="both"/>
        <w:rPr>
          <w:bCs/>
          <w:color w:val="000000" w:themeColor="text1"/>
          <w:u w:val="single"/>
        </w:rPr>
      </w:pPr>
    </w:p>
    <w:p w:rsidR="00E50BAA" w:rsidRPr="00C17BAC" w:rsidRDefault="00E50BAA" w:rsidP="007479CB">
      <w:pPr>
        <w:pStyle w:val="2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32"/>
          <w:lang w:eastAsia="uk-UA"/>
        </w:rPr>
      </w:pPr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lastRenderedPageBreak/>
        <w:t>ІІ</w:t>
      </w:r>
      <w:r w:rsidR="001040E5">
        <w:rPr>
          <w:rFonts w:ascii="Times New Roman" w:hAnsi="Times New Roman" w:cs="Times New Roman"/>
          <w:color w:val="auto"/>
          <w:sz w:val="28"/>
          <w:szCs w:val="32"/>
          <w:lang w:eastAsia="uk-UA"/>
        </w:rPr>
        <w:t>.</w:t>
      </w:r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Система п</w:t>
      </w:r>
      <w:r w:rsidR="00D42180"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ідтримки ліквідності членів </w:t>
      </w:r>
      <w:r w:rsidR="002F3076"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об’єднаної </w:t>
      </w:r>
      <w:r w:rsidR="001C4E5F"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>кредитної спілки</w:t>
      </w:r>
    </w:p>
    <w:p w:rsidR="001125DB" w:rsidRPr="00C17BAC" w:rsidRDefault="001125DB" w:rsidP="007479CB">
      <w:pPr>
        <w:ind w:firstLine="567"/>
        <w:contextualSpacing/>
        <w:rPr>
          <w:rFonts w:ascii="Times New Roman" w:hAnsi="Times New Roman" w:cs="Times New Roman"/>
          <w:lang w:eastAsia="uk-UA"/>
        </w:rPr>
      </w:pPr>
    </w:p>
    <w:p w:rsidR="00D42180" w:rsidRPr="00C17BAC" w:rsidRDefault="00557A91" w:rsidP="00747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D4218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має право </w:t>
      </w:r>
      <w:r w:rsidR="00CC22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забез</w:t>
      </w:r>
      <w:r w:rsidR="00063F7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печувати роботу</w:t>
      </w:r>
      <w:r w:rsidR="00CC228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4218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систем</w:t>
      </w:r>
      <w:r w:rsidR="008D13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D4218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 </w:t>
      </w:r>
      <w:r w:rsidR="001C4E5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кредитних спілок, які є членами </w:t>
      </w:r>
      <w:r w:rsidR="00D4218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спілки.</w:t>
      </w:r>
    </w:p>
    <w:p w:rsidR="006B7DA6" w:rsidRPr="00C17BAC" w:rsidRDefault="006B7DA6" w:rsidP="007479C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B62BD" w:rsidRDefault="00557A91" w:rsidP="00747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4846F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</w:t>
      </w:r>
      <w:r w:rsidR="00BD444D"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має право створити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4846F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 д</w:t>
      </w:r>
      <w:r w:rsidR="008B62B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ля забезпечення роботи системи підтримки ліквідності</w:t>
      </w:r>
      <w:r w:rsidR="001974D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131C1" w:rsidRPr="00373CF5" w:rsidRDefault="008131C1" w:rsidP="00373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CF5">
        <w:rPr>
          <w:rFonts w:ascii="Times New Roman" w:hAnsi="Times New Roman" w:cs="Times New Roman"/>
          <w:sz w:val="28"/>
          <w:szCs w:val="28"/>
        </w:rPr>
        <w:t>Об’єднана кредитна спілка, яка створює систему підтримки ліквідності та фонд підтримки ліквідності, повинна дотримуватися вимог</w:t>
      </w:r>
      <w:r w:rsidR="002B4925">
        <w:rPr>
          <w:rFonts w:ascii="Times New Roman" w:hAnsi="Times New Roman" w:cs="Times New Roman"/>
          <w:sz w:val="28"/>
          <w:szCs w:val="28"/>
        </w:rPr>
        <w:t>,</w:t>
      </w:r>
      <w:r w:rsidRPr="00373CF5">
        <w:rPr>
          <w:rFonts w:ascii="Times New Roman" w:hAnsi="Times New Roman" w:cs="Times New Roman"/>
          <w:sz w:val="28"/>
          <w:szCs w:val="28"/>
        </w:rPr>
        <w:t xml:space="preserve"> визначених у пунктах 13</w:t>
      </w:r>
      <w:r w:rsidR="002B492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r w:rsidRPr="00373CF5">
        <w:rPr>
          <w:rFonts w:ascii="Times New Roman" w:hAnsi="Times New Roman" w:cs="Times New Roman"/>
          <w:sz w:val="28"/>
          <w:szCs w:val="28"/>
        </w:rPr>
        <w:t>20 розділу ІІ цього Положення.</w:t>
      </w:r>
    </w:p>
    <w:p w:rsidR="00D75B55" w:rsidRPr="00C17BAC" w:rsidRDefault="00D75B55" w:rsidP="007479C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C17BAC">
        <w:rPr>
          <w:rFonts w:ascii="Times New Roman" w:hAnsi="Times New Roman" w:cs="Times New Roman"/>
          <w:sz w:val="28"/>
          <w:szCs w:val="28"/>
        </w:rPr>
        <w:t>Кош</w:t>
      </w:r>
      <w:r w:rsidR="008A262A" w:rsidRPr="00C17BAC">
        <w:rPr>
          <w:rFonts w:ascii="Times New Roman" w:hAnsi="Times New Roman" w:cs="Times New Roman"/>
          <w:sz w:val="28"/>
          <w:szCs w:val="28"/>
        </w:rPr>
        <w:t xml:space="preserve">ти </w:t>
      </w:r>
      <w:r w:rsidR="00DF6896">
        <w:rPr>
          <w:rFonts w:ascii="Times New Roman" w:hAnsi="Times New Roman" w:cs="Times New Roman"/>
          <w:sz w:val="28"/>
          <w:szCs w:val="28"/>
        </w:rPr>
        <w:t>фонд</w:t>
      </w:r>
      <w:r w:rsidR="008A262A" w:rsidRPr="00C17BAC">
        <w:rPr>
          <w:rFonts w:ascii="Times New Roman" w:hAnsi="Times New Roman" w:cs="Times New Roman"/>
          <w:sz w:val="28"/>
          <w:szCs w:val="28"/>
        </w:rPr>
        <w:t xml:space="preserve">у підтримки ліквідності </w:t>
      </w:r>
      <w:r w:rsidRPr="00C17BAC">
        <w:rPr>
          <w:rFonts w:ascii="Times New Roman" w:hAnsi="Times New Roman" w:cs="Times New Roman"/>
          <w:sz w:val="28"/>
          <w:szCs w:val="28"/>
        </w:rPr>
        <w:t xml:space="preserve">акумулюються об’єднаною кредитною спілкою на </w:t>
      </w:r>
      <w:r w:rsidR="00BD444D" w:rsidRPr="00C17BAC">
        <w:rPr>
          <w:rFonts w:ascii="Times New Roman" w:hAnsi="Times New Roman" w:cs="Times New Roman"/>
          <w:sz w:val="28"/>
          <w:szCs w:val="28"/>
        </w:rPr>
        <w:t>банківськ</w:t>
      </w:r>
      <w:r w:rsidR="00BD444D">
        <w:rPr>
          <w:rFonts w:ascii="Times New Roman" w:hAnsi="Times New Roman" w:cs="Times New Roman"/>
          <w:sz w:val="28"/>
          <w:szCs w:val="28"/>
        </w:rPr>
        <w:t>их</w:t>
      </w:r>
      <w:r w:rsidR="00BD444D" w:rsidRPr="00C17BAC"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BD444D">
        <w:rPr>
          <w:rFonts w:ascii="Times New Roman" w:hAnsi="Times New Roman" w:cs="Times New Roman"/>
          <w:sz w:val="28"/>
          <w:szCs w:val="28"/>
        </w:rPr>
        <w:t>ах</w:t>
      </w:r>
      <w:r w:rsidR="00BD444D" w:rsidRPr="00C17BAC">
        <w:rPr>
          <w:rFonts w:ascii="Times New Roman" w:hAnsi="Times New Roman" w:cs="Times New Roman"/>
          <w:sz w:val="28"/>
          <w:szCs w:val="28"/>
        </w:rPr>
        <w:t xml:space="preserve"> </w:t>
      </w:r>
      <w:r w:rsidRPr="00C17BAC">
        <w:rPr>
          <w:rFonts w:ascii="Times New Roman" w:hAnsi="Times New Roman" w:cs="Times New Roman"/>
          <w:sz w:val="28"/>
          <w:szCs w:val="28"/>
        </w:rPr>
        <w:t>об’єднаної кредитної спілки</w:t>
      </w:r>
      <w:r w:rsidR="00BD444D">
        <w:rPr>
          <w:rFonts w:ascii="Times New Roman" w:hAnsi="Times New Roman" w:cs="Times New Roman"/>
          <w:sz w:val="28"/>
          <w:szCs w:val="28"/>
        </w:rPr>
        <w:t xml:space="preserve">, </w:t>
      </w:r>
      <w:r w:rsidR="00BD444D" w:rsidRPr="00373CF5">
        <w:rPr>
          <w:rFonts w:ascii="Times New Roman" w:hAnsi="Times New Roman" w:cs="Times New Roman"/>
          <w:sz w:val="28"/>
          <w:szCs w:val="28"/>
        </w:rPr>
        <w:t>які відокремлені від інших активів об’єднаної кредитної спілки</w:t>
      </w:r>
      <w:r w:rsidR="00862DF8">
        <w:rPr>
          <w:rFonts w:ascii="Times New Roman" w:hAnsi="Times New Roman" w:cs="Times New Roman"/>
          <w:sz w:val="28"/>
          <w:szCs w:val="28"/>
        </w:rPr>
        <w:t>.</w:t>
      </w:r>
    </w:p>
    <w:p w:rsidR="000B028C" w:rsidRPr="001B3B96" w:rsidRDefault="000B028C" w:rsidP="007479C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uk-UA"/>
        </w:rPr>
      </w:pPr>
    </w:p>
    <w:p w:rsidR="00D42180" w:rsidRPr="00C17BAC" w:rsidRDefault="00557A91" w:rsidP="00747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6708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б’єднана кредитна спілка</w:t>
      </w:r>
      <w:r w:rsidR="00330B5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B492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2B4925"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E5CC2"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разі створення системи підтримки ліквідності кредитних спілок</w:t>
      </w:r>
      <w:r w:rsidR="002E5CC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30B5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зобов’язана розробити внутрішні</w:t>
      </w:r>
      <w:r w:rsidR="00162A1B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30B5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документ</w:t>
      </w:r>
      <w:r w:rsidR="007C08E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щодо створення та функціонування системи підтримки ліквідності кредитних спілок</w:t>
      </w:r>
      <w:r w:rsidR="008A262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8A262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підтримки ліквідності</w:t>
      </w:r>
      <w:r w:rsidR="002346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3469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(далі – Положення щодо підтримки ліквідності)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708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67085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 створення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67085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підтримки ліквідності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B028C" w:rsidRPr="00C17BAC" w:rsidRDefault="000B028C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25DC0" w:rsidRPr="00C17BAC" w:rsidRDefault="00557A91" w:rsidP="003259A0">
      <w:pPr>
        <w:numPr>
          <w:ilvl w:val="0"/>
          <w:numId w:val="4"/>
        </w:numPr>
        <w:spacing w:after="0" w:line="240" w:lineRule="auto"/>
        <w:ind w:left="0"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025DC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Положення щодо підтримки ліквідності повинно визначати:</w:t>
      </w:r>
    </w:p>
    <w:p w:rsidR="00DD10CE" w:rsidRPr="00C17BAC" w:rsidRDefault="00DD10CE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25DC0" w:rsidRPr="00C17BAC" w:rsidRDefault="00637811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 </w:t>
      </w:r>
      <w:r w:rsidR="00025DC0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створення </w:t>
      </w:r>
      <w:r w:rsidR="005B4A70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функціонування </w:t>
      </w:r>
      <w:r w:rsidR="00890236" w:rsidRPr="0037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системи підтримки ліквідності та </w:t>
      </w:r>
      <w:r w:rsidR="00DF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фонд</w:t>
      </w:r>
      <w:r w:rsidR="003C10E5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025DC0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підтримки ліквідності</w:t>
      </w:r>
      <w:r w:rsidR="000B028C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2546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членів об’єднаної кредитної спілки</w:t>
      </w:r>
      <w:r w:rsidR="00025DC0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03220" w:rsidRPr="00C17BAC" w:rsidRDefault="00503220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4E5F" w:rsidRPr="00C17BAC" w:rsidRDefault="001B3B7B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7811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A262A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умови та </w:t>
      </w:r>
      <w:r w:rsidR="001C4E5F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="005B4A70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, за дотримання</w:t>
      </w:r>
      <w:r w:rsidR="00677D5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B4A70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яких</w:t>
      </w:r>
      <w:r w:rsidR="001C4E5F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r w:rsidR="00190E1E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об’єднаної кредитної спілки</w:t>
      </w:r>
      <w:r w:rsidR="00BB5EA2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A70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має право</w:t>
      </w:r>
      <w:r w:rsidR="001C4E5F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отримати кредит</w:t>
      </w:r>
      <w:r w:rsidR="00A01D1D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DF6896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 w:rsidR="005B4A70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1D1D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D1D" w:rsidRPr="00C17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підтримки ліквідності</w:t>
      </w:r>
      <w:r w:rsidR="000B028C" w:rsidRPr="00C17B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28C" w:rsidRPr="00C17BAC" w:rsidRDefault="000B028C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E50BAA" w:rsidRPr="00C17BAC" w:rsidRDefault="00557A91" w:rsidP="003259A0">
      <w:pPr>
        <w:numPr>
          <w:ilvl w:val="0"/>
          <w:numId w:val="4"/>
        </w:numPr>
        <w:spacing w:after="0" w:line="240" w:lineRule="auto"/>
        <w:ind w:left="0"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6708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Внутрішні документи, що регулюють п</w:t>
      </w:r>
      <w:r w:rsidR="003E42E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оряд</w:t>
      </w:r>
      <w:r w:rsidR="00CC557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4846F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створення та функціонування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0E0DD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підтримки ліквідності членів об’єднаної кредитної спілки, р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ішення щодо створення</w:t>
      </w:r>
      <w:r w:rsidR="000E0DD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0E0DD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підтримки ліквідності</w:t>
      </w:r>
      <w:r w:rsidR="005A09F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джерел наповнення такого фонду</w:t>
      </w:r>
      <w:r w:rsidR="005E442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A09F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загальних умов його використання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1259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прийма</w:t>
      </w:r>
      <w:r w:rsidR="0071259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ю</w:t>
      </w:r>
      <w:r w:rsidR="0071259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ться 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загальними зборами членів об’єднаної кредитної спілки.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0E0DD4" w:rsidRPr="00C17BAC" w:rsidRDefault="000E0DD4" w:rsidP="003259A0">
      <w:pPr>
        <w:spacing w:after="0" w:line="240" w:lineRule="auto"/>
        <w:ind w:firstLine="567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E50BAA" w:rsidRPr="00C17BAC" w:rsidRDefault="00557A91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3C10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ом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</w:t>
      </w:r>
      <w:r w:rsidR="003C5567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здійснюється </w:t>
      </w:r>
      <w:r w:rsidR="003C5567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виконавчим органом об’єднаної кредитної спілки</w:t>
      </w:r>
      <w:r w:rsidR="00A5471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574A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</w:t>
      </w:r>
      <w:r w:rsidR="00CC557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визначених </w:t>
      </w:r>
      <w:r w:rsidR="00D574A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повноважень</w:t>
      </w:r>
      <w:r w:rsidR="005E442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 який</w:t>
      </w:r>
      <w:r w:rsidR="007C08E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E442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регулярн</w:t>
      </w:r>
      <w:r w:rsidR="00862D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5E442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але не рідше одного разу на рік, подає на розгляд та затвердження загальних зборів членів об’єднаної кредитної спілки звіт про використання коштів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5E442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0E0DD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</w:t>
      </w:r>
      <w:r w:rsidR="00D574A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03220" w:rsidRPr="00C17BAC" w:rsidRDefault="00503220" w:rsidP="003259A0">
      <w:pPr>
        <w:pStyle w:val="Default"/>
        <w:ind w:firstLine="567"/>
        <w:contextualSpacing/>
        <w:mirrorIndents/>
        <w:jc w:val="both"/>
        <w:rPr>
          <w:bCs/>
          <w:color w:val="000000" w:themeColor="text1"/>
          <w:sz w:val="28"/>
        </w:rPr>
      </w:pPr>
    </w:p>
    <w:p w:rsidR="00A54710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A5471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Вільні кошти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204B5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5471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 </w:t>
      </w:r>
      <w:r w:rsidR="00D202F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можуть розміщуватися</w:t>
      </w:r>
      <w:r w:rsidR="00D0031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в таких </w:t>
      </w:r>
      <w:r w:rsidR="00BB03E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ліквідних </w:t>
      </w:r>
      <w:r w:rsidR="00D0031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активах</w:t>
      </w:r>
      <w:r w:rsidR="00D202FF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DD10CE" w:rsidRPr="00C17BAC" w:rsidRDefault="00DD10CE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36B22" w:rsidRPr="00C17BAC" w:rsidRDefault="00D202FF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C17BAC">
        <w:rPr>
          <w:bCs/>
          <w:color w:val="000000" w:themeColor="text1"/>
          <w:sz w:val="28"/>
        </w:rPr>
        <w:t>1)</w:t>
      </w:r>
      <w:r w:rsidR="00637811" w:rsidRPr="00331132">
        <w:rPr>
          <w:bCs/>
          <w:color w:val="000000" w:themeColor="text1"/>
          <w:sz w:val="28"/>
        </w:rPr>
        <w:t> </w:t>
      </w:r>
      <w:r w:rsidRPr="00883F38">
        <w:rPr>
          <w:bCs/>
          <w:color w:val="000000" w:themeColor="text1"/>
          <w:sz w:val="28"/>
        </w:rPr>
        <w:t xml:space="preserve">на поточних </w:t>
      </w:r>
      <w:r w:rsidR="0020602C" w:rsidRPr="00883F38">
        <w:rPr>
          <w:bCs/>
          <w:color w:val="000000" w:themeColor="text1"/>
          <w:sz w:val="28"/>
        </w:rPr>
        <w:t>рахунках у</w:t>
      </w:r>
      <w:r w:rsidR="00036B22" w:rsidRPr="00883F38">
        <w:rPr>
          <w:bCs/>
          <w:color w:val="000000" w:themeColor="text1"/>
          <w:sz w:val="28"/>
        </w:rPr>
        <w:t xml:space="preserve"> банк</w:t>
      </w:r>
      <w:r w:rsidR="00663BA4" w:rsidRPr="00C17BAC">
        <w:rPr>
          <w:bCs/>
          <w:color w:val="000000" w:themeColor="text1"/>
          <w:sz w:val="28"/>
        </w:rPr>
        <w:t>ах</w:t>
      </w:r>
      <w:r w:rsidR="00D00314" w:rsidRPr="00C17BAC">
        <w:rPr>
          <w:bCs/>
          <w:color w:val="000000" w:themeColor="text1"/>
          <w:sz w:val="28"/>
        </w:rPr>
        <w:t xml:space="preserve"> (за винятком сум, що стосуються коштів, використання яких обмежено, та/або за ви</w:t>
      </w:r>
      <w:r w:rsidR="000D4744">
        <w:rPr>
          <w:bCs/>
          <w:color w:val="000000" w:themeColor="text1"/>
          <w:sz w:val="28"/>
        </w:rPr>
        <w:t>нятко</w:t>
      </w:r>
      <w:r w:rsidR="00D00314" w:rsidRPr="00C17BAC">
        <w:rPr>
          <w:bCs/>
          <w:color w:val="000000" w:themeColor="text1"/>
          <w:sz w:val="28"/>
        </w:rPr>
        <w:t>м коштів на рахунках у банках, що віднесені до категорії неплатоспроможних)</w:t>
      </w:r>
      <w:r w:rsidR="00036B22" w:rsidRPr="00C17BAC">
        <w:rPr>
          <w:bCs/>
          <w:color w:val="000000" w:themeColor="text1"/>
          <w:sz w:val="28"/>
        </w:rPr>
        <w:t>;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</w:p>
    <w:p w:rsidR="00D202FF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C17BAC">
        <w:rPr>
          <w:bCs/>
          <w:color w:val="000000" w:themeColor="text1"/>
          <w:sz w:val="28"/>
        </w:rPr>
        <w:t>2) </w:t>
      </w:r>
      <w:r w:rsidR="00036B22" w:rsidRPr="00C17BAC">
        <w:rPr>
          <w:bCs/>
          <w:color w:val="000000" w:themeColor="text1"/>
          <w:sz w:val="28"/>
        </w:rPr>
        <w:t xml:space="preserve">на </w:t>
      </w:r>
      <w:r w:rsidR="003D6BC5">
        <w:rPr>
          <w:bCs/>
          <w:color w:val="000000" w:themeColor="text1"/>
          <w:sz w:val="28"/>
        </w:rPr>
        <w:t>вкладних (</w:t>
      </w:r>
      <w:r w:rsidR="00D202FF" w:rsidRPr="00C17BAC">
        <w:rPr>
          <w:bCs/>
          <w:color w:val="000000" w:themeColor="text1"/>
          <w:sz w:val="28"/>
        </w:rPr>
        <w:t>депозитних</w:t>
      </w:r>
      <w:r w:rsidR="003D6BC5">
        <w:rPr>
          <w:bCs/>
          <w:color w:val="000000" w:themeColor="text1"/>
          <w:sz w:val="28"/>
        </w:rPr>
        <w:t>)</w:t>
      </w:r>
      <w:r w:rsidR="00D202FF" w:rsidRPr="00C17BAC">
        <w:rPr>
          <w:bCs/>
          <w:color w:val="000000" w:themeColor="text1"/>
          <w:sz w:val="28"/>
        </w:rPr>
        <w:t xml:space="preserve"> рахунках </w:t>
      </w:r>
      <w:r w:rsidR="0020602C" w:rsidRPr="00C17BAC">
        <w:rPr>
          <w:bCs/>
          <w:color w:val="000000" w:themeColor="text1"/>
          <w:sz w:val="28"/>
        </w:rPr>
        <w:t>у</w:t>
      </w:r>
      <w:r w:rsidR="00663BA4" w:rsidRPr="00C17BAC">
        <w:rPr>
          <w:bCs/>
          <w:color w:val="000000" w:themeColor="text1"/>
          <w:sz w:val="28"/>
        </w:rPr>
        <w:t xml:space="preserve"> банках</w:t>
      </w:r>
      <w:r w:rsidR="00D202FF" w:rsidRPr="00C17BAC">
        <w:rPr>
          <w:bCs/>
          <w:color w:val="000000" w:themeColor="text1"/>
          <w:sz w:val="28"/>
        </w:rPr>
        <w:t>, які можуть бути вільно реа</w:t>
      </w:r>
      <w:r w:rsidR="00036B22" w:rsidRPr="00C17BAC">
        <w:rPr>
          <w:bCs/>
          <w:color w:val="000000" w:themeColor="text1"/>
          <w:sz w:val="28"/>
        </w:rPr>
        <w:t>лізовані протягом трьох місяців</w:t>
      </w:r>
      <w:r w:rsidR="00637549" w:rsidRPr="00C17BAC">
        <w:rPr>
          <w:bCs/>
          <w:color w:val="000000" w:themeColor="text1"/>
          <w:sz w:val="28"/>
        </w:rPr>
        <w:t>;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</w:p>
    <w:p w:rsidR="00D202FF" w:rsidRPr="00C17BAC" w:rsidRDefault="00036B22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C17BAC">
        <w:rPr>
          <w:bCs/>
          <w:color w:val="000000" w:themeColor="text1"/>
          <w:sz w:val="28"/>
        </w:rPr>
        <w:t>3</w:t>
      </w:r>
      <w:r w:rsidR="00637811" w:rsidRPr="00C17BAC">
        <w:rPr>
          <w:bCs/>
          <w:color w:val="000000" w:themeColor="text1"/>
          <w:sz w:val="28"/>
        </w:rPr>
        <w:t>) </w:t>
      </w:r>
      <w:r w:rsidR="00862DF8">
        <w:rPr>
          <w:bCs/>
          <w:color w:val="000000" w:themeColor="text1"/>
          <w:sz w:val="28"/>
        </w:rPr>
        <w:t xml:space="preserve">у </w:t>
      </w:r>
      <w:r w:rsidR="00A34E87" w:rsidRPr="00C17BAC">
        <w:rPr>
          <w:bCs/>
          <w:color w:val="000000" w:themeColor="text1"/>
          <w:sz w:val="28"/>
        </w:rPr>
        <w:t>цінних паперах, емітованих центральними органами виконавчої влади України</w:t>
      </w:r>
      <w:r w:rsidR="00677D5D">
        <w:rPr>
          <w:bCs/>
          <w:color w:val="000000" w:themeColor="text1"/>
          <w:sz w:val="28"/>
        </w:rPr>
        <w:t xml:space="preserve"> </w:t>
      </w:r>
      <w:r w:rsidR="00A34E87" w:rsidRPr="00C17BAC">
        <w:rPr>
          <w:bCs/>
          <w:color w:val="000000" w:themeColor="text1"/>
          <w:sz w:val="28"/>
        </w:rPr>
        <w:t>або гарантован</w:t>
      </w:r>
      <w:r w:rsidR="00862DF8">
        <w:rPr>
          <w:bCs/>
          <w:color w:val="000000" w:themeColor="text1"/>
          <w:sz w:val="28"/>
        </w:rPr>
        <w:t>их</w:t>
      </w:r>
      <w:r w:rsidR="00A34E87" w:rsidRPr="00C17BAC">
        <w:rPr>
          <w:bCs/>
          <w:color w:val="000000" w:themeColor="text1"/>
          <w:sz w:val="28"/>
        </w:rPr>
        <w:t xml:space="preserve"> Кабінетом Міністрів України,</w:t>
      </w:r>
      <w:r w:rsidRPr="00C17BAC">
        <w:rPr>
          <w:bCs/>
          <w:color w:val="000000" w:themeColor="text1"/>
          <w:sz w:val="28"/>
        </w:rPr>
        <w:t xml:space="preserve"> та облігаціях</w:t>
      </w:r>
      <w:r w:rsidR="00D202FF" w:rsidRPr="00C17BAC">
        <w:rPr>
          <w:bCs/>
          <w:color w:val="000000" w:themeColor="text1"/>
          <w:sz w:val="28"/>
        </w:rPr>
        <w:t xml:space="preserve"> міжнародних фінансових організацій, що розміщуються на території України</w:t>
      </w:r>
      <w:r w:rsidR="00330B52" w:rsidRPr="00C17BAC">
        <w:rPr>
          <w:bCs/>
          <w:color w:val="000000" w:themeColor="text1"/>
          <w:sz w:val="28"/>
        </w:rPr>
        <w:t>, які не мають обтяження</w:t>
      </w:r>
      <w:r w:rsidR="00637549" w:rsidRPr="00C17BAC">
        <w:rPr>
          <w:bCs/>
          <w:color w:val="000000" w:themeColor="text1"/>
          <w:sz w:val="28"/>
        </w:rPr>
        <w:t>.</w:t>
      </w:r>
    </w:p>
    <w:p w:rsidR="00036B22" w:rsidRPr="00C17BAC" w:rsidRDefault="00036B22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C17BAC">
        <w:rPr>
          <w:bCs/>
          <w:color w:val="000000" w:themeColor="text1"/>
          <w:sz w:val="28"/>
        </w:rPr>
        <w:t>Частка активів, розміщених відповідно до підпунктів 1 та 2 пункту</w:t>
      </w:r>
      <w:r w:rsidR="0067085E">
        <w:rPr>
          <w:bCs/>
          <w:color w:val="000000" w:themeColor="text1"/>
          <w:sz w:val="28"/>
        </w:rPr>
        <w:t xml:space="preserve"> 18 </w:t>
      </w:r>
      <w:r w:rsidR="00476EE5" w:rsidRPr="008D2BA8">
        <w:rPr>
          <w:bCs/>
          <w:color w:val="000000" w:themeColor="text1"/>
          <w:sz w:val="28"/>
        </w:rPr>
        <w:t xml:space="preserve">розділу </w:t>
      </w:r>
      <w:r w:rsidR="00476EE5">
        <w:rPr>
          <w:bCs/>
          <w:color w:val="000000" w:themeColor="text1"/>
          <w:sz w:val="28"/>
          <w:lang w:val="en-US"/>
        </w:rPr>
        <w:t>II</w:t>
      </w:r>
      <w:r w:rsidR="00476EE5" w:rsidRPr="00781607">
        <w:rPr>
          <w:bCs/>
          <w:color w:val="000000" w:themeColor="text1"/>
          <w:sz w:val="28"/>
        </w:rPr>
        <w:t xml:space="preserve"> </w:t>
      </w:r>
      <w:r w:rsidR="0067085E">
        <w:rPr>
          <w:bCs/>
          <w:color w:val="000000" w:themeColor="text1"/>
          <w:sz w:val="28"/>
        </w:rPr>
        <w:t>цього Положення</w:t>
      </w:r>
      <w:r w:rsidRPr="00C17BAC">
        <w:rPr>
          <w:bCs/>
          <w:color w:val="000000" w:themeColor="text1"/>
          <w:sz w:val="28"/>
        </w:rPr>
        <w:t xml:space="preserve"> в одному банку</w:t>
      </w:r>
      <w:r w:rsidR="00E65C5A">
        <w:rPr>
          <w:bCs/>
          <w:color w:val="000000" w:themeColor="text1"/>
          <w:sz w:val="28"/>
        </w:rPr>
        <w:t>,</w:t>
      </w:r>
      <w:r w:rsidRPr="00C17BAC">
        <w:rPr>
          <w:bCs/>
          <w:color w:val="000000" w:themeColor="text1"/>
          <w:sz w:val="28"/>
        </w:rPr>
        <w:t xml:space="preserve"> не </w:t>
      </w:r>
      <w:r w:rsidR="000D4744">
        <w:rPr>
          <w:bCs/>
          <w:color w:val="000000" w:themeColor="text1"/>
          <w:sz w:val="28"/>
        </w:rPr>
        <w:t>повинна</w:t>
      </w:r>
      <w:r w:rsidRPr="00C17BAC">
        <w:rPr>
          <w:bCs/>
          <w:color w:val="000000" w:themeColor="text1"/>
          <w:sz w:val="28"/>
        </w:rPr>
        <w:t xml:space="preserve"> перевищувати </w:t>
      </w:r>
      <w:r w:rsidR="00A6758D" w:rsidRPr="00373CF5">
        <w:rPr>
          <w:bCs/>
          <w:color w:val="000000" w:themeColor="text1"/>
          <w:sz w:val="28"/>
        </w:rPr>
        <w:t>3</w:t>
      </w:r>
      <w:r w:rsidR="00A6758D" w:rsidRPr="00C17BAC">
        <w:rPr>
          <w:bCs/>
          <w:color w:val="000000" w:themeColor="text1"/>
          <w:sz w:val="28"/>
        </w:rPr>
        <w:t>5</w:t>
      </w:r>
      <w:r w:rsidRPr="00C17BAC">
        <w:rPr>
          <w:bCs/>
          <w:color w:val="000000" w:themeColor="text1"/>
          <w:sz w:val="28"/>
        </w:rPr>
        <w:t xml:space="preserve">% від загальної суми вільних коштів </w:t>
      </w:r>
      <w:r w:rsidR="00DF6896">
        <w:rPr>
          <w:bCs/>
          <w:color w:val="000000" w:themeColor="text1"/>
          <w:sz w:val="28"/>
        </w:rPr>
        <w:t>фонд</w:t>
      </w:r>
      <w:r w:rsidR="005A09F4" w:rsidRPr="00C17BAC">
        <w:rPr>
          <w:bCs/>
          <w:color w:val="000000" w:themeColor="text1"/>
          <w:sz w:val="28"/>
        </w:rPr>
        <w:t>у</w:t>
      </w:r>
      <w:r w:rsidRPr="00C17BAC">
        <w:rPr>
          <w:bCs/>
          <w:color w:val="000000" w:themeColor="text1"/>
          <w:sz w:val="28"/>
        </w:rPr>
        <w:t xml:space="preserve"> п</w:t>
      </w:r>
      <w:r w:rsidR="00194774" w:rsidRPr="00C17BAC">
        <w:rPr>
          <w:bCs/>
          <w:color w:val="000000" w:themeColor="text1"/>
          <w:sz w:val="28"/>
        </w:rPr>
        <w:t>ідтримки ліквідності</w:t>
      </w:r>
      <w:r w:rsidR="005A09F4" w:rsidRPr="00C17BAC">
        <w:rPr>
          <w:bCs/>
          <w:color w:val="000000" w:themeColor="text1"/>
          <w:sz w:val="28"/>
        </w:rPr>
        <w:t>,</w:t>
      </w:r>
      <w:r w:rsidR="00194774" w:rsidRPr="00C17BAC">
        <w:rPr>
          <w:bCs/>
          <w:color w:val="000000" w:themeColor="text1"/>
          <w:sz w:val="28"/>
        </w:rPr>
        <w:t xml:space="preserve"> </w:t>
      </w:r>
      <w:r w:rsidRPr="00C17BAC">
        <w:rPr>
          <w:bCs/>
          <w:color w:val="000000" w:themeColor="text1"/>
          <w:sz w:val="28"/>
        </w:rPr>
        <w:t>розміщеної в банках.</w:t>
      </w:r>
    </w:p>
    <w:p w:rsidR="00637549" w:rsidRDefault="00637549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C17BAC">
        <w:rPr>
          <w:bCs/>
          <w:color w:val="000000" w:themeColor="text1"/>
          <w:sz w:val="28"/>
        </w:rPr>
        <w:t xml:space="preserve">Концентрація вільних коштів </w:t>
      </w:r>
      <w:r w:rsidR="00DF6896">
        <w:rPr>
          <w:bCs/>
          <w:color w:val="000000" w:themeColor="text1"/>
          <w:sz w:val="28"/>
        </w:rPr>
        <w:t>фонд</w:t>
      </w:r>
      <w:r w:rsidR="005A09F4" w:rsidRPr="00C17BAC">
        <w:rPr>
          <w:bCs/>
          <w:color w:val="000000" w:themeColor="text1"/>
          <w:sz w:val="28"/>
        </w:rPr>
        <w:t>у</w:t>
      </w:r>
      <w:r w:rsidRPr="00C17BAC">
        <w:rPr>
          <w:bCs/>
          <w:color w:val="000000" w:themeColor="text1"/>
          <w:sz w:val="28"/>
        </w:rPr>
        <w:t xml:space="preserve"> підтримки ліквідності членів </w:t>
      </w:r>
      <w:r w:rsidR="00C02546" w:rsidRPr="00C17BAC">
        <w:rPr>
          <w:bCs/>
          <w:color w:val="000000" w:themeColor="text1"/>
          <w:sz w:val="28"/>
        </w:rPr>
        <w:t>об’єднаної кредитної спілки</w:t>
      </w:r>
      <w:r w:rsidRPr="00C17BAC">
        <w:rPr>
          <w:bCs/>
          <w:color w:val="000000" w:themeColor="text1"/>
          <w:sz w:val="28"/>
        </w:rPr>
        <w:t xml:space="preserve"> в одному </w:t>
      </w:r>
      <w:r w:rsidR="009D735C" w:rsidRPr="00C17BAC">
        <w:rPr>
          <w:bCs/>
          <w:color w:val="000000" w:themeColor="text1"/>
          <w:sz w:val="28"/>
        </w:rPr>
        <w:t xml:space="preserve">з активів, зазначених </w:t>
      </w:r>
      <w:r w:rsidR="000D4744">
        <w:rPr>
          <w:bCs/>
          <w:color w:val="000000" w:themeColor="text1"/>
          <w:sz w:val="28"/>
        </w:rPr>
        <w:t>у</w:t>
      </w:r>
      <w:r w:rsidR="009D735C" w:rsidRPr="00C17BAC">
        <w:rPr>
          <w:bCs/>
          <w:color w:val="000000" w:themeColor="text1"/>
          <w:sz w:val="28"/>
        </w:rPr>
        <w:t xml:space="preserve"> </w:t>
      </w:r>
      <w:r w:rsidR="00AA6231" w:rsidRPr="00C17BAC">
        <w:rPr>
          <w:bCs/>
          <w:color w:val="000000" w:themeColor="text1"/>
          <w:sz w:val="28"/>
        </w:rPr>
        <w:t xml:space="preserve">підпункті </w:t>
      </w:r>
      <w:r w:rsidR="009D735C" w:rsidRPr="00C17BAC">
        <w:rPr>
          <w:bCs/>
          <w:color w:val="000000" w:themeColor="text1"/>
          <w:sz w:val="28"/>
        </w:rPr>
        <w:t>3 пункту</w:t>
      </w:r>
      <w:r w:rsidR="0067085E">
        <w:rPr>
          <w:bCs/>
          <w:color w:val="000000" w:themeColor="text1"/>
          <w:sz w:val="28"/>
        </w:rPr>
        <w:t xml:space="preserve"> 18 </w:t>
      </w:r>
      <w:r w:rsidR="00476EE5">
        <w:rPr>
          <w:bCs/>
          <w:color w:val="000000" w:themeColor="text1"/>
          <w:sz w:val="28"/>
        </w:rPr>
        <w:t xml:space="preserve">розділу ІІ </w:t>
      </w:r>
      <w:r w:rsidR="0067085E">
        <w:rPr>
          <w:bCs/>
          <w:color w:val="000000" w:themeColor="text1"/>
          <w:sz w:val="28"/>
        </w:rPr>
        <w:t>цього Положення</w:t>
      </w:r>
      <w:r w:rsidR="009D735C" w:rsidRPr="00C17BAC">
        <w:rPr>
          <w:bCs/>
          <w:color w:val="000000" w:themeColor="text1"/>
          <w:sz w:val="28"/>
        </w:rPr>
        <w:t>,</w:t>
      </w:r>
      <w:r w:rsidRPr="00C17BAC">
        <w:rPr>
          <w:bCs/>
          <w:color w:val="000000" w:themeColor="text1"/>
          <w:sz w:val="28"/>
        </w:rPr>
        <w:t xml:space="preserve"> не повинна перевищувати </w:t>
      </w:r>
      <w:r w:rsidR="00463069" w:rsidRPr="00C17BAC">
        <w:rPr>
          <w:bCs/>
          <w:color w:val="000000" w:themeColor="text1"/>
          <w:sz w:val="28"/>
        </w:rPr>
        <w:t>50</w:t>
      </w:r>
      <w:r w:rsidRPr="00C17BAC">
        <w:rPr>
          <w:bCs/>
          <w:color w:val="000000" w:themeColor="text1"/>
          <w:sz w:val="28"/>
        </w:rPr>
        <w:t xml:space="preserve">% від всієї суми </w:t>
      </w:r>
      <w:r w:rsidR="00DF6896">
        <w:rPr>
          <w:bCs/>
          <w:color w:val="000000" w:themeColor="text1"/>
          <w:sz w:val="28"/>
        </w:rPr>
        <w:t>фонд</w:t>
      </w:r>
      <w:r w:rsidR="001850FB" w:rsidRPr="00C17BAC">
        <w:rPr>
          <w:bCs/>
          <w:color w:val="000000" w:themeColor="text1"/>
          <w:sz w:val="28"/>
        </w:rPr>
        <w:t xml:space="preserve">у </w:t>
      </w:r>
      <w:r w:rsidRPr="00C17BAC">
        <w:rPr>
          <w:bCs/>
          <w:color w:val="000000" w:themeColor="text1"/>
          <w:sz w:val="28"/>
        </w:rPr>
        <w:t>підтримки ліквідності.</w:t>
      </w:r>
    </w:p>
    <w:p w:rsidR="00A6758D" w:rsidRPr="00373CF5" w:rsidRDefault="00A6758D" w:rsidP="00373CF5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  <w:r w:rsidRPr="00373CF5">
        <w:rPr>
          <w:bCs/>
          <w:color w:val="000000" w:themeColor="text1"/>
          <w:sz w:val="28"/>
        </w:rPr>
        <w:t xml:space="preserve">Вимоги щодо розміщення активів, </w:t>
      </w:r>
      <w:r w:rsidR="002B4925">
        <w:rPr>
          <w:bCs/>
          <w:color w:val="000000" w:themeColor="text1"/>
          <w:sz w:val="28"/>
        </w:rPr>
        <w:t>зазначених у</w:t>
      </w:r>
      <w:r w:rsidR="002B4925" w:rsidRPr="00373CF5">
        <w:rPr>
          <w:bCs/>
          <w:color w:val="000000" w:themeColor="text1"/>
          <w:sz w:val="28"/>
        </w:rPr>
        <w:t xml:space="preserve"> </w:t>
      </w:r>
      <w:r w:rsidRPr="00373CF5">
        <w:rPr>
          <w:bCs/>
          <w:color w:val="000000" w:themeColor="text1"/>
          <w:sz w:val="28"/>
        </w:rPr>
        <w:t>пункт</w:t>
      </w:r>
      <w:r w:rsidR="002B4925">
        <w:rPr>
          <w:bCs/>
          <w:color w:val="000000" w:themeColor="text1"/>
          <w:sz w:val="28"/>
        </w:rPr>
        <w:t>і</w:t>
      </w:r>
      <w:r w:rsidRPr="00373CF5">
        <w:rPr>
          <w:bCs/>
          <w:color w:val="000000" w:themeColor="text1"/>
          <w:sz w:val="28"/>
        </w:rPr>
        <w:t xml:space="preserve"> 18 розділу ІІ цього Положення</w:t>
      </w:r>
      <w:r w:rsidR="002B4925">
        <w:rPr>
          <w:bCs/>
          <w:color w:val="000000" w:themeColor="text1"/>
          <w:sz w:val="28"/>
        </w:rPr>
        <w:t>,</w:t>
      </w:r>
      <w:r w:rsidRPr="00373CF5">
        <w:rPr>
          <w:bCs/>
          <w:color w:val="000000" w:themeColor="text1"/>
          <w:sz w:val="28"/>
        </w:rPr>
        <w:t xml:space="preserve"> застосовуються, якщо</w:t>
      </w:r>
      <w:r w:rsidR="007C08ED">
        <w:rPr>
          <w:bCs/>
          <w:color w:val="000000" w:themeColor="text1"/>
          <w:sz w:val="28"/>
        </w:rPr>
        <w:t xml:space="preserve"> </w:t>
      </w:r>
      <w:r w:rsidRPr="00373CF5">
        <w:rPr>
          <w:bCs/>
          <w:color w:val="000000" w:themeColor="text1"/>
          <w:sz w:val="28"/>
        </w:rPr>
        <w:t xml:space="preserve">загальна сума фонду підтримки ліквідності становить не менше </w:t>
      </w:r>
      <w:r w:rsidR="002B4925">
        <w:rPr>
          <w:bCs/>
          <w:color w:val="000000" w:themeColor="text1"/>
          <w:sz w:val="28"/>
        </w:rPr>
        <w:t>двох</w:t>
      </w:r>
      <w:r w:rsidR="002B4925" w:rsidRPr="00373CF5">
        <w:rPr>
          <w:bCs/>
          <w:color w:val="000000" w:themeColor="text1"/>
          <w:sz w:val="28"/>
        </w:rPr>
        <w:t xml:space="preserve"> </w:t>
      </w:r>
      <w:r w:rsidRPr="00373CF5">
        <w:rPr>
          <w:bCs/>
          <w:color w:val="000000" w:themeColor="text1"/>
          <w:sz w:val="28"/>
        </w:rPr>
        <w:t>м</w:t>
      </w:r>
      <w:r>
        <w:rPr>
          <w:bCs/>
          <w:color w:val="000000" w:themeColor="text1"/>
          <w:sz w:val="28"/>
        </w:rPr>
        <w:t xml:space="preserve">ільйонів </w:t>
      </w:r>
      <w:r w:rsidRPr="00373CF5">
        <w:rPr>
          <w:bCs/>
          <w:color w:val="000000" w:themeColor="text1"/>
          <w:sz w:val="28"/>
        </w:rPr>
        <w:t>гривень.</w:t>
      </w:r>
    </w:p>
    <w:p w:rsidR="00A6758D" w:rsidRPr="00C17BAC" w:rsidRDefault="00A6758D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</w:rPr>
      </w:pPr>
    </w:p>
    <w:p w:rsidR="00E50BAA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731E5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під час</w:t>
      </w:r>
      <w:r w:rsidR="000D474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31E5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визначенн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="00731E5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умов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6306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надання </w:t>
      </w:r>
      <w:r w:rsidR="00C0254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член</w:t>
      </w:r>
      <w:r w:rsidR="0046306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ам</w:t>
      </w:r>
      <w:r w:rsidR="00C0254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об’єднаної кредитної спілки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6306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кредитів 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3D48A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46306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підтримки ліквідності</w:t>
      </w:r>
      <w:r w:rsidR="00731E5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повинна дотримуватися 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таких</w:t>
      </w:r>
      <w:r w:rsidR="000D474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13D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вимог</w:t>
      </w:r>
      <w:r w:rsidR="00731E5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  <w:r w:rsidR="00E50BA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DD10CE" w:rsidRPr="00C17BAC" w:rsidRDefault="00DD10CE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33157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C17BAC">
        <w:rPr>
          <w:bCs/>
          <w:color w:val="000000" w:themeColor="text1"/>
          <w:sz w:val="28"/>
          <w:szCs w:val="28"/>
        </w:rPr>
        <w:t>1) </w:t>
      </w:r>
      <w:r w:rsidR="00CC557A" w:rsidRPr="00C17BAC">
        <w:rPr>
          <w:bCs/>
          <w:color w:val="000000" w:themeColor="text1"/>
          <w:sz w:val="28"/>
          <w:szCs w:val="28"/>
        </w:rPr>
        <w:t>строк</w:t>
      </w:r>
      <w:r w:rsidR="00EB7B86" w:rsidRPr="00C17BAC">
        <w:rPr>
          <w:bCs/>
          <w:color w:val="000000" w:themeColor="text1"/>
          <w:sz w:val="28"/>
          <w:szCs w:val="28"/>
        </w:rPr>
        <w:t xml:space="preserve"> </w:t>
      </w:r>
      <w:r w:rsidR="00463069" w:rsidRPr="00C17BAC">
        <w:rPr>
          <w:bCs/>
          <w:color w:val="000000" w:themeColor="text1"/>
          <w:sz w:val="28"/>
          <w:szCs w:val="28"/>
        </w:rPr>
        <w:t xml:space="preserve">дії </w:t>
      </w:r>
      <w:r w:rsidR="00731E56" w:rsidRPr="00C17BAC">
        <w:rPr>
          <w:bCs/>
          <w:color w:val="000000" w:themeColor="text1"/>
          <w:sz w:val="28"/>
          <w:szCs w:val="28"/>
        </w:rPr>
        <w:t xml:space="preserve">договору </w:t>
      </w:r>
      <w:r w:rsidR="00E50BAA" w:rsidRPr="00C17BAC">
        <w:rPr>
          <w:bCs/>
          <w:color w:val="000000" w:themeColor="text1"/>
          <w:sz w:val="28"/>
          <w:szCs w:val="28"/>
        </w:rPr>
        <w:t>кр</w:t>
      </w:r>
      <w:r w:rsidR="00731E56" w:rsidRPr="00C17BAC">
        <w:rPr>
          <w:bCs/>
          <w:color w:val="000000" w:themeColor="text1"/>
          <w:sz w:val="28"/>
          <w:szCs w:val="28"/>
        </w:rPr>
        <w:t>едиту</w:t>
      </w:r>
      <w:r w:rsidR="00463069" w:rsidRPr="00C17BAC">
        <w:rPr>
          <w:bCs/>
          <w:color w:val="000000" w:themeColor="text1"/>
          <w:sz w:val="28"/>
          <w:szCs w:val="28"/>
        </w:rPr>
        <w:t xml:space="preserve">, наданого </w:t>
      </w:r>
      <w:r w:rsidR="00731E56" w:rsidRPr="00C17BAC">
        <w:rPr>
          <w:bCs/>
          <w:color w:val="000000" w:themeColor="text1"/>
          <w:sz w:val="28"/>
          <w:szCs w:val="28"/>
        </w:rPr>
        <w:t xml:space="preserve">за рахунок </w:t>
      </w:r>
      <w:r w:rsidR="003D6BC5">
        <w:rPr>
          <w:bCs/>
          <w:color w:val="000000" w:themeColor="text1"/>
          <w:sz w:val="28"/>
          <w:szCs w:val="28"/>
        </w:rPr>
        <w:t xml:space="preserve">коштів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463069" w:rsidRPr="00C17BAC">
        <w:rPr>
          <w:bCs/>
          <w:color w:val="000000" w:themeColor="text1"/>
          <w:sz w:val="28"/>
          <w:szCs w:val="28"/>
        </w:rPr>
        <w:t>у</w:t>
      </w:r>
      <w:r w:rsidR="00731E56" w:rsidRPr="00C17BAC">
        <w:rPr>
          <w:bCs/>
          <w:color w:val="000000" w:themeColor="text1"/>
          <w:sz w:val="28"/>
          <w:szCs w:val="28"/>
        </w:rPr>
        <w:t xml:space="preserve"> підтримки ліквідності</w:t>
      </w:r>
      <w:r w:rsidR="00463069" w:rsidRPr="00C17BAC">
        <w:rPr>
          <w:bCs/>
          <w:color w:val="000000" w:themeColor="text1"/>
          <w:sz w:val="28"/>
          <w:szCs w:val="28"/>
        </w:rPr>
        <w:t xml:space="preserve">, </w:t>
      </w:r>
      <w:r w:rsidR="00F33157" w:rsidRPr="00C17BAC">
        <w:rPr>
          <w:bCs/>
          <w:color w:val="000000" w:themeColor="text1"/>
          <w:sz w:val="28"/>
          <w:szCs w:val="28"/>
        </w:rPr>
        <w:t xml:space="preserve">не </w:t>
      </w:r>
      <w:r w:rsidR="00E65C5A">
        <w:rPr>
          <w:bCs/>
          <w:color w:val="000000" w:themeColor="text1"/>
          <w:sz w:val="28"/>
          <w:szCs w:val="28"/>
        </w:rPr>
        <w:t>повинна</w:t>
      </w:r>
      <w:r w:rsidR="00F33157" w:rsidRPr="00C17BAC">
        <w:rPr>
          <w:bCs/>
          <w:color w:val="000000" w:themeColor="text1"/>
          <w:sz w:val="28"/>
          <w:szCs w:val="28"/>
        </w:rPr>
        <w:t xml:space="preserve"> перевищувати </w:t>
      </w:r>
      <w:r w:rsidR="000D4744">
        <w:rPr>
          <w:bCs/>
          <w:color w:val="000000" w:themeColor="text1"/>
          <w:sz w:val="28"/>
          <w:szCs w:val="28"/>
        </w:rPr>
        <w:t>шість</w:t>
      </w:r>
      <w:r w:rsidR="00F33157" w:rsidRPr="00C17BAC">
        <w:rPr>
          <w:bCs/>
          <w:color w:val="000000" w:themeColor="text1"/>
          <w:sz w:val="28"/>
          <w:szCs w:val="28"/>
        </w:rPr>
        <w:t xml:space="preserve"> місяців;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E50BAA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C17BAC">
        <w:rPr>
          <w:bCs/>
          <w:color w:val="000000" w:themeColor="text1"/>
          <w:sz w:val="28"/>
          <w:szCs w:val="28"/>
        </w:rPr>
        <w:t>2) </w:t>
      </w:r>
      <w:r w:rsidR="00F33157" w:rsidRPr="00C17BAC">
        <w:rPr>
          <w:bCs/>
          <w:color w:val="000000" w:themeColor="text1"/>
          <w:sz w:val="28"/>
          <w:szCs w:val="28"/>
        </w:rPr>
        <w:t>пролонгація договору кредиту</w:t>
      </w:r>
      <w:r w:rsidR="00AA0F72" w:rsidRPr="00C17BAC">
        <w:rPr>
          <w:bCs/>
          <w:color w:val="000000" w:themeColor="text1"/>
          <w:sz w:val="28"/>
          <w:szCs w:val="28"/>
        </w:rPr>
        <w:t xml:space="preserve">, наданого </w:t>
      </w:r>
      <w:r w:rsidR="00F33157" w:rsidRPr="00C17BAC">
        <w:rPr>
          <w:bCs/>
          <w:color w:val="000000" w:themeColor="text1"/>
          <w:sz w:val="28"/>
          <w:szCs w:val="28"/>
        </w:rPr>
        <w:t xml:space="preserve">за рахунок </w:t>
      </w:r>
      <w:r w:rsidR="003D6BC5">
        <w:rPr>
          <w:bCs/>
          <w:color w:val="000000" w:themeColor="text1"/>
          <w:sz w:val="28"/>
          <w:szCs w:val="28"/>
        </w:rPr>
        <w:t xml:space="preserve">коштів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AA0F72" w:rsidRPr="00C17BAC">
        <w:rPr>
          <w:bCs/>
          <w:color w:val="000000" w:themeColor="text1"/>
          <w:sz w:val="28"/>
          <w:szCs w:val="28"/>
        </w:rPr>
        <w:t>у</w:t>
      </w:r>
      <w:r w:rsidR="00F33157" w:rsidRPr="00C17BAC">
        <w:rPr>
          <w:bCs/>
          <w:color w:val="000000" w:themeColor="text1"/>
          <w:sz w:val="28"/>
          <w:szCs w:val="28"/>
        </w:rPr>
        <w:t xml:space="preserve"> підтримки ліквідності, може здійснюватися </w:t>
      </w:r>
      <w:r w:rsidR="000D4744">
        <w:rPr>
          <w:bCs/>
          <w:color w:val="000000" w:themeColor="text1"/>
          <w:sz w:val="28"/>
          <w:szCs w:val="28"/>
        </w:rPr>
        <w:t>в</w:t>
      </w:r>
      <w:r w:rsidR="000D4744" w:rsidRPr="00C17BAC">
        <w:rPr>
          <w:bCs/>
          <w:color w:val="000000" w:themeColor="text1"/>
          <w:sz w:val="28"/>
          <w:szCs w:val="28"/>
        </w:rPr>
        <w:t xml:space="preserve"> </w:t>
      </w:r>
      <w:r w:rsidR="00EB7B86" w:rsidRPr="00C17BAC">
        <w:rPr>
          <w:bCs/>
          <w:color w:val="000000" w:themeColor="text1"/>
          <w:sz w:val="28"/>
          <w:szCs w:val="28"/>
        </w:rPr>
        <w:t>межах строку</w:t>
      </w:r>
      <w:r w:rsidR="00F33157" w:rsidRPr="00C17BAC">
        <w:rPr>
          <w:bCs/>
          <w:color w:val="000000" w:themeColor="text1"/>
          <w:sz w:val="28"/>
          <w:szCs w:val="28"/>
        </w:rPr>
        <w:t>, визначено</w:t>
      </w:r>
      <w:r w:rsidR="00EB08BB" w:rsidRPr="00C17BAC">
        <w:rPr>
          <w:bCs/>
          <w:color w:val="000000" w:themeColor="text1"/>
          <w:sz w:val="28"/>
          <w:szCs w:val="28"/>
        </w:rPr>
        <w:t>го</w:t>
      </w:r>
      <w:r w:rsidR="00F33157" w:rsidRPr="00C17BAC">
        <w:rPr>
          <w:bCs/>
          <w:color w:val="000000" w:themeColor="text1"/>
          <w:sz w:val="28"/>
          <w:szCs w:val="28"/>
        </w:rPr>
        <w:t xml:space="preserve"> </w:t>
      </w:r>
      <w:r w:rsidR="000D4744">
        <w:rPr>
          <w:bCs/>
          <w:color w:val="000000" w:themeColor="text1"/>
          <w:sz w:val="28"/>
          <w:szCs w:val="28"/>
        </w:rPr>
        <w:t xml:space="preserve">в </w:t>
      </w:r>
      <w:r w:rsidR="00F33157" w:rsidRPr="00C17BAC">
        <w:rPr>
          <w:bCs/>
          <w:color w:val="000000" w:themeColor="text1"/>
          <w:sz w:val="28"/>
          <w:szCs w:val="28"/>
        </w:rPr>
        <w:t>підпункт</w:t>
      </w:r>
      <w:r w:rsidR="000D4744">
        <w:rPr>
          <w:bCs/>
          <w:color w:val="000000" w:themeColor="text1"/>
          <w:sz w:val="28"/>
          <w:szCs w:val="28"/>
        </w:rPr>
        <w:t>і</w:t>
      </w:r>
      <w:r w:rsidR="00F33157" w:rsidRPr="00C17BAC">
        <w:rPr>
          <w:bCs/>
          <w:color w:val="000000" w:themeColor="text1"/>
          <w:sz w:val="28"/>
          <w:szCs w:val="28"/>
        </w:rPr>
        <w:t xml:space="preserve"> 1 пункту</w:t>
      </w:r>
      <w:r w:rsidR="00520B8C">
        <w:rPr>
          <w:bCs/>
          <w:color w:val="000000" w:themeColor="text1"/>
          <w:sz w:val="28"/>
          <w:szCs w:val="28"/>
        </w:rPr>
        <w:t xml:space="preserve"> 19 </w:t>
      </w:r>
      <w:r w:rsidR="00476EE5">
        <w:rPr>
          <w:bCs/>
          <w:color w:val="000000" w:themeColor="text1"/>
          <w:sz w:val="28"/>
          <w:szCs w:val="28"/>
        </w:rPr>
        <w:t xml:space="preserve">розділу ІІ </w:t>
      </w:r>
      <w:r w:rsidR="00520B8C">
        <w:rPr>
          <w:bCs/>
          <w:color w:val="000000" w:themeColor="text1"/>
          <w:sz w:val="28"/>
          <w:szCs w:val="28"/>
        </w:rPr>
        <w:t>цього Положення</w:t>
      </w:r>
      <w:r w:rsidR="00F33157" w:rsidRPr="00C17BAC">
        <w:rPr>
          <w:bCs/>
          <w:color w:val="000000" w:themeColor="text1"/>
          <w:sz w:val="28"/>
          <w:szCs w:val="28"/>
        </w:rPr>
        <w:t>;</w:t>
      </w:r>
      <w:r w:rsidR="00E50BAA" w:rsidRPr="00C17BAC">
        <w:rPr>
          <w:bCs/>
          <w:color w:val="000000" w:themeColor="text1"/>
          <w:sz w:val="28"/>
          <w:szCs w:val="28"/>
        </w:rPr>
        <w:t xml:space="preserve"> 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E50BAA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C17BAC">
        <w:rPr>
          <w:bCs/>
          <w:color w:val="000000" w:themeColor="text1"/>
          <w:sz w:val="28"/>
          <w:szCs w:val="28"/>
        </w:rPr>
        <w:t>3)</w:t>
      </w:r>
      <w:r w:rsidRPr="00331132">
        <w:rPr>
          <w:bCs/>
          <w:color w:val="000000" w:themeColor="text1"/>
          <w:sz w:val="28"/>
          <w:szCs w:val="28"/>
        </w:rPr>
        <w:t> </w:t>
      </w:r>
      <w:r w:rsidR="00E50BAA" w:rsidRPr="00883F38">
        <w:rPr>
          <w:bCs/>
          <w:color w:val="000000" w:themeColor="text1"/>
          <w:sz w:val="28"/>
          <w:szCs w:val="28"/>
        </w:rPr>
        <w:t xml:space="preserve">розмір кредиту на підтримку ліквідності </w:t>
      </w:r>
      <w:r w:rsidR="00EB7B86" w:rsidRPr="00883F38">
        <w:rPr>
          <w:bCs/>
          <w:color w:val="000000" w:themeColor="text1"/>
          <w:sz w:val="28"/>
          <w:szCs w:val="28"/>
        </w:rPr>
        <w:t xml:space="preserve">не </w:t>
      </w:r>
      <w:r w:rsidR="00487E03" w:rsidRPr="00883F38">
        <w:rPr>
          <w:bCs/>
          <w:color w:val="000000" w:themeColor="text1"/>
          <w:sz w:val="28"/>
          <w:szCs w:val="28"/>
        </w:rPr>
        <w:t>може</w:t>
      </w:r>
      <w:r w:rsidR="00487E03" w:rsidRPr="00C17BAC">
        <w:rPr>
          <w:bCs/>
          <w:color w:val="000000" w:themeColor="text1"/>
          <w:sz w:val="28"/>
          <w:szCs w:val="28"/>
        </w:rPr>
        <w:t xml:space="preserve"> перевищувати </w:t>
      </w:r>
      <w:r w:rsidR="00CC557A" w:rsidRPr="00C17BAC">
        <w:rPr>
          <w:bCs/>
          <w:color w:val="000000" w:themeColor="text1"/>
          <w:sz w:val="28"/>
          <w:szCs w:val="28"/>
        </w:rPr>
        <w:t>трикратного розміру внеску</w:t>
      </w:r>
      <w:r w:rsidR="009A64E9">
        <w:rPr>
          <w:bCs/>
          <w:color w:val="000000" w:themeColor="text1"/>
          <w:sz w:val="28"/>
          <w:szCs w:val="28"/>
        </w:rPr>
        <w:t>,</w:t>
      </w:r>
      <w:r w:rsidR="00D77A88" w:rsidRPr="00C17BAC">
        <w:rPr>
          <w:bCs/>
          <w:color w:val="000000" w:themeColor="text1"/>
          <w:sz w:val="28"/>
          <w:szCs w:val="28"/>
        </w:rPr>
        <w:t xml:space="preserve"> </w:t>
      </w:r>
      <w:r w:rsidR="00487E03" w:rsidRPr="00C17BAC">
        <w:rPr>
          <w:bCs/>
          <w:color w:val="000000" w:themeColor="text1"/>
          <w:sz w:val="28"/>
          <w:szCs w:val="28"/>
        </w:rPr>
        <w:t>внесен</w:t>
      </w:r>
      <w:r w:rsidR="00D77A88" w:rsidRPr="00C17BAC">
        <w:rPr>
          <w:bCs/>
          <w:color w:val="000000" w:themeColor="text1"/>
          <w:sz w:val="28"/>
          <w:szCs w:val="28"/>
        </w:rPr>
        <w:t>ого</w:t>
      </w:r>
      <w:r w:rsidR="00487E03" w:rsidRPr="00C17BAC">
        <w:rPr>
          <w:bCs/>
          <w:color w:val="000000" w:themeColor="text1"/>
          <w:sz w:val="28"/>
          <w:szCs w:val="28"/>
        </w:rPr>
        <w:t xml:space="preserve"> кредитною спілкою-позичальником до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487E03" w:rsidRPr="00C17BAC">
        <w:rPr>
          <w:bCs/>
          <w:color w:val="000000" w:themeColor="text1"/>
          <w:sz w:val="28"/>
          <w:szCs w:val="28"/>
        </w:rPr>
        <w:t>у підтримки ліквідності</w:t>
      </w:r>
      <w:r w:rsidR="009A64E9">
        <w:rPr>
          <w:bCs/>
          <w:color w:val="000000" w:themeColor="text1"/>
          <w:sz w:val="28"/>
          <w:szCs w:val="28"/>
        </w:rPr>
        <w:t>.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A01D1D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під час 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визначенн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5649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вимог до </w:t>
      </w:r>
      <w:r w:rsidR="00087B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своїх </w:t>
      </w:r>
      <w:r w:rsidR="0045649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членів</w:t>
      </w:r>
      <w:r w:rsidR="00F9001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45649C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які можуть отримати кредит з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7E0D29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підтримки ліквідності членів </w:t>
      </w:r>
      <w:r w:rsidR="00190E1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 повинна дотримуватися</w:t>
      </w:r>
      <w:r w:rsidR="000B69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хоча б однієї з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таких</w:t>
      </w:r>
      <w:r w:rsidR="000D474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13D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вимог</w:t>
      </w:r>
      <w:r w:rsidR="00A01D1D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DD10CE" w:rsidRPr="00C17BAC" w:rsidRDefault="00DD10CE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C75B4D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C17BAC">
        <w:rPr>
          <w:bCs/>
          <w:color w:val="000000" w:themeColor="text1"/>
          <w:sz w:val="28"/>
          <w:szCs w:val="28"/>
        </w:rPr>
        <w:t>1) </w:t>
      </w:r>
      <w:r w:rsidR="00DB52FF" w:rsidRPr="00C17BAC">
        <w:rPr>
          <w:bCs/>
          <w:color w:val="000000" w:themeColor="text1"/>
          <w:sz w:val="28"/>
          <w:szCs w:val="28"/>
        </w:rPr>
        <w:t>к</w:t>
      </w:r>
      <w:r w:rsidR="00E50BAA" w:rsidRPr="00C17BAC">
        <w:rPr>
          <w:bCs/>
          <w:color w:val="000000" w:themeColor="text1"/>
          <w:sz w:val="28"/>
          <w:szCs w:val="28"/>
        </w:rPr>
        <w:t xml:space="preserve">ошти </w:t>
      </w:r>
      <w:r w:rsidR="00DB52FF" w:rsidRPr="00C17BAC">
        <w:rPr>
          <w:bCs/>
          <w:color w:val="000000" w:themeColor="text1"/>
          <w:sz w:val="28"/>
          <w:szCs w:val="28"/>
        </w:rPr>
        <w:t xml:space="preserve">з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7E0D29" w:rsidRPr="00C17BAC">
        <w:rPr>
          <w:bCs/>
          <w:color w:val="000000" w:themeColor="text1"/>
          <w:sz w:val="28"/>
          <w:szCs w:val="28"/>
        </w:rPr>
        <w:t xml:space="preserve">у </w:t>
      </w:r>
      <w:r w:rsidR="00DB52FF" w:rsidRPr="00C17BAC">
        <w:rPr>
          <w:bCs/>
          <w:color w:val="000000" w:themeColor="text1"/>
          <w:sz w:val="28"/>
          <w:szCs w:val="28"/>
        </w:rPr>
        <w:t xml:space="preserve">підтримки ліквідності членів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0B6996">
        <w:rPr>
          <w:bCs/>
          <w:color w:val="000000" w:themeColor="text1"/>
          <w:sz w:val="28"/>
          <w:szCs w:val="28"/>
        </w:rPr>
        <w:t xml:space="preserve"> можуть</w:t>
      </w:r>
      <w:r w:rsidR="00DB52FF" w:rsidRPr="00C17BAC">
        <w:rPr>
          <w:bCs/>
          <w:color w:val="000000" w:themeColor="text1"/>
          <w:sz w:val="28"/>
          <w:szCs w:val="28"/>
        </w:rPr>
        <w:t xml:space="preserve"> </w:t>
      </w:r>
      <w:r w:rsidR="00C75B4D" w:rsidRPr="00C17BAC">
        <w:rPr>
          <w:bCs/>
          <w:color w:val="000000" w:themeColor="text1"/>
          <w:sz w:val="28"/>
          <w:szCs w:val="28"/>
        </w:rPr>
        <w:t>нада</w:t>
      </w:r>
      <w:r w:rsidR="000B6996">
        <w:rPr>
          <w:bCs/>
          <w:color w:val="000000" w:themeColor="text1"/>
          <w:sz w:val="28"/>
          <w:szCs w:val="28"/>
        </w:rPr>
        <w:t>вати</w:t>
      </w:r>
      <w:r w:rsidR="00C75B4D" w:rsidRPr="00C17BAC">
        <w:rPr>
          <w:bCs/>
          <w:color w:val="000000" w:themeColor="text1"/>
          <w:sz w:val="28"/>
          <w:szCs w:val="28"/>
        </w:rPr>
        <w:t>ся</w:t>
      </w:r>
      <w:r w:rsidR="00DB52FF" w:rsidRPr="00C17BAC">
        <w:rPr>
          <w:bCs/>
          <w:color w:val="000000" w:themeColor="text1"/>
          <w:sz w:val="28"/>
          <w:szCs w:val="28"/>
        </w:rPr>
        <w:t xml:space="preserve"> </w:t>
      </w:r>
      <w:r w:rsidR="00C75B4D" w:rsidRPr="00C17BAC">
        <w:rPr>
          <w:bCs/>
          <w:color w:val="000000" w:themeColor="text1"/>
          <w:sz w:val="28"/>
          <w:szCs w:val="28"/>
        </w:rPr>
        <w:t xml:space="preserve">членам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DB52FF" w:rsidRPr="00C17BAC">
        <w:rPr>
          <w:bCs/>
          <w:color w:val="000000" w:themeColor="text1"/>
          <w:sz w:val="28"/>
          <w:szCs w:val="28"/>
        </w:rPr>
        <w:t xml:space="preserve">, які мають </w:t>
      </w:r>
      <w:r w:rsidR="005B6EFF" w:rsidRPr="00C17BAC">
        <w:rPr>
          <w:bCs/>
          <w:color w:val="000000" w:themeColor="text1"/>
          <w:sz w:val="28"/>
          <w:szCs w:val="28"/>
        </w:rPr>
        <w:t xml:space="preserve">значення </w:t>
      </w:r>
      <w:r w:rsidR="00C75B4D" w:rsidRPr="00C17BAC">
        <w:rPr>
          <w:bCs/>
          <w:color w:val="000000" w:themeColor="text1"/>
          <w:sz w:val="28"/>
          <w:szCs w:val="28"/>
        </w:rPr>
        <w:t>нормативу ліквідності нижче 120</w:t>
      </w:r>
      <w:r w:rsidR="000D4744">
        <w:rPr>
          <w:bCs/>
          <w:color w:val="000000" w:themeColor="text1"/>
          <w:sz w:val="28"/>
          <w:szCs w:val="28"/>
        </w:rPr>
        <w:t>%</w:t>
      </w:r>
      <w:r w:rsidR="00C75B4D" w:rsidRPr="00C17BAC">
        <w:rPr>
          <w:bCs/>
          <w:color w:val="000000" w:themeColor="text1"/>
          <w:sz w:val="28"/>
          <w:szCs w:val="28"/>
        </w:rPr>
        <w:t xml:space="preserve"> </w:t>
      </w:r>
      <w:r w:rsidR="009A64E9">
        <w:rPr>
          <w:bCs/>
          <w:color w:val="000000" w:themeColor="text1"/>
          <w:sz w:val="28"/>
          <w:szCs w:val="28"/>
        </w:rPr>
        <w:t>від</w:t>
      </w:r>
      <w:r w:rsidR="00C75B4D" w:rsidRPr="00C17BAC">
        <w:rPr>
          <w:bCs/>
          <w:color w:val="000000" w:themeColor="text1"/>
          <w:sz w:val="28"/>
          <w:szCs w:val="28"/>
        </w:rPr>
        <w:t xml:space="preserve"> мінімального рівня, встановленого </w:t>
      </w:r>
      <w:r w:rsidR="00054A48" w:rsidRPr="00C17BAC">
        <w:rPr>
          <w:bCs/>
          <w:color w:val="000000" w:themeColor="text1"/>
          <w:sz w:val="28"/>
          <w:szCs w:val="28"/>
        </w:rPr>
        <w:t>Національним банком</w:t>
      </w:r>
      <w:r w:rsidR="00C75B4D" w:rsidRPr="00C17BAC">
        <w:rPr>
          <w:bCs/>
          <w:color w:val="000000" w:themeColor="text1"/>
          <w:sz w:val="28"/>
          <w:szCs w:val="28"/>
        </w:rPr>
        <w:t>;</w:t>
      </w:r>
    </w:p>
    <w:p w:rsidR="00503220" w:rsidRPr="00C17BAC" w:rsidRDefault="00503220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C75B4D" w:rsidRPr="00C17BAC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C17BAC">
        <w:rPr>
          <w:bCs/>
          <w:color w:val="000000" w:themeColor="text1"/>
          <w:sz w:val="28"/>
          <w:szCs w:val="28"/>
        </w:rPr>
        <w:t>2) </w:t>
      </w:r>
      <w:r w:rsidR="00C75B4D" w:rsidRPr="00C17BAC">
        <w:rPr>
          <w:bCs/>
          <w:color w:val="000000" w:themeColor="text1"/>
          <w:sz w:val="28"/>
          <w:szCs w:val="28"/>
        </w:rPr>
        <w:t xml:space="preserve">кошти з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7E0D29" w:rsidRPr="00C17BAC">
        <w:rPr>
          <w:bCs/>
          <w:color w:val="000000" w:themeColor="text1"/>
          <w:sz w:val="28"/>
          <w:szCs w:val="28"/>
        </w:rPr>
        <w:t xml:space="preserve">у </w:t>
      </w:r>
      <w:r w:rsidR="00C75B4D" w:rsidRPr="00C17BAC">
        <w:rPr>
          <w:bCs/>
          <w:color w:val="000000" w:themeColor="text1"/>
          <w:sz w:val="28"/>
          <w:szCs w:val="28"/>
        </w:rPr>
        <w:t xml:space="preserve">підтримки ліквідності членів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0B6996">
        <w:rPr>
          <w:bCs/>
          <w:color w:val="000000" w:themeColor="text1"/>
          <w:sz w:val="28"/>
          <w:szCs w:val="28"/>
        </w:rPr>
        <w:t xml:space="preserve"> можуть</w:t>
      </w:r>
      <w:r w:rsidR="00C75B4D" w:rsidRPr="00C17BAC">
        <w:rPr>
          <w:bCs/>
          <w:color w:val="000000" w:themeColor="text1"/>
          <w:sz w:val="28"/>
          <w:szCs w:val="28"/>
        </w:rPr>
        <w:t xml:space="preserve"> нада</w:t>
      </w:r>
      <w:r w:rsidR="000B6996">
        <w:rPr>
          <w:bCs/>
          <w:color w:val="000000" w:themeColor="text1"/>
          <w:sz w:val="28"/>
          <w:szCs w:val="28"/>
        </w:rPr>
        <w:t>вати</w:t>
      </w:r>
      <w:r w:rsidR="00C75B4D" w:rsidRPr="00C17BAC">
        <w:rPr>
          <w:bCs/>
          <w:color w:val="000000" w:themeColor="text1"/>
          <w:sz w:val="28"/>
          <w:szCs w:val="28"/>
        </w:rPr>
        <w:t xml:space="preserve">ся членам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C75B4D" w:rsidRPr="00C17BAC">
        <w:rPr>
          <w:bCs/>
          <w:color w:val="000000" w:themeColor="text1"/>
          <w:sz w:val="28"/>
          <w:szCs w:val="28"/>
        </w:rPr>
        <w:t>, які мають зниження або порушення показника ліквідності, встановленого об’єднаною кредитною спілкою для членів</w:t>
      </w:r>
      <w:r w:rsidR="00054A48" w:rsidRPr="00C17BAC">
        <w:rPr>
          <w:bCs/>
          <w:color w:val="000000" w:themeColor="text1"/>
          <w:sz w:val="28"/>
          <w:szCs w:val="28"/>
        </w:rPr>
        <w:t xml:space="preserve">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B92F6A">
        <w:rPr>
          <w:bCs/>
          <w:color w:val="000000" w:themeColor="text1"/>
          <w:sz w:val="28"/>
          <w:szCs w:val="28"/>
        </w:rPr>
        <w:t>.</w:t>
      </w:r>
    </w:p>
    <w:p w:rsidR="00E50BAA" w:rsidRPr="00C17BAC" w:rsidRDefault="00FE79CD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="001C4625" w:rsidRPr="00C17BAC">
        <w:rPr>
          <w:bCs/>
          <w:color w:val="000000" w:themeColor="text1"/>
          <w:sz w:val="28"/>
          <w:szCs w:val="28"/>
        </w:rPr>
        <w:t>ошти</w:t>
      </w:r>
      <w:r w:rsidR="00E50BAA" w:rsidRPr="00C17BAC">
        <w:rPr>
          <w:bCs/>
          <w:color w:val="000000" w:themeColor="text1"/>
          <w:sz w:val="28"/>
          <w:szCs w:val="28"/>
        </w:rPr>
        <w:t xml:space="preserve"> </w:t>
      </w:r>
      <w:r w:rsidR="003531B3" w:rsidRPr="00C17BAC">
        <w:rPr>
          <w:bCs/>
          <w:color w:val="000000" w:themeColor="text1"/>
          <w:sz w:val="28"/>
          <w:szCs w:val="28"/>
        </w:rPr>
        <w:t xml:space="preserve">з </w:t>
      </w:r>
      <w:r w:rsidR="00DF6896">
        <w:rPr>
          <w:bCs/>
          <w:color w:val="000000" w:themeColor="text1"/>
          <w:sz w:val="28"/>
          <w:szCs w:val="28"/>
        </w:rPr>
        <w:t>фонд</w:t>
      </w:r>
      <w:r w:rsidR="001C4625" w:rsidRPr="00C17BAC">
        <w:rPr>
          <w:bCs/>
          <w:color w:val="000000" w:themeColor="text1"/>
          <w:sz w:val="28"/>
          <w:szCs w:val="28"/>
        </w:rPr>
        <w:t>у</w:t>
      </w:r>
      <w:r w:rsidR="003531B3" w:rsidRPr="00C17BAC">
        <w:rPr>
          <w:bCs/>
          <w:color w:val="000000" w:themeColor="text1"/>
          <w:sz w:val="28"/>
          <w:szCs w:val="28"/>
        </w:rPr>
        <w:t xml:space="preserve"> системи підтримки ліквідності </w:t>
      </w:r>
      <w:r w:rsidR="00E50BAA" w:rsidRPr="00C17BAC">
        <w:rPr>
          <w:bCs/>
          <w:color w:val="000000" w:themeColor="text1"/>
          <w:sz w:val="28"/>
          <w:szCs w:val="28"/>
        </w:rPr>
        <w:t xml:space="preserve">мають надаватися </w:t>
      </w:r>
      <w:r w:rsidR="001C4625" w:rsidRPr="00C17BAC">
        <w:rPr>
          <w:bCs/>
          <w:color w:val="000000" w:themeColor="text1"/>
          <w:sz w:val="28"/>
          <w:szCs w:val="28"/>
        </w:rPr>
        <w:t>за умови</w:t>
      </w:r>
      <w:r w:rsidR="00E50BAA" w:rsidRPr="00C17BAC">
        <w:rPr>
          <w:bCs/>
          <w:color w:val="000000" w:themeColor="text1"/>
          <w:sz w:val="28"/>
          <w:szCs w:val="28"/>
        </w:rPr>
        <w:t xml:space="preserve"> надання </w:t>
      </w:r>
      <w:r w:rsidR="003531B3" w:rsidRPr="00C17BAC">
        <w:rPr>
          <w:bCs/>
          <w:color w:val="000000" w:themeColor="text1"/>
          <w:sz w:val="28"/>
          <w:szCs w:val="28"/>
        </w:rPr>
        <w:t xml:space="preserve">членом </w:t>
      </w:r>
      <w:r w:rsidR="00190E1E" w:rsidRPr="00C17BAC">
        <w:rPr>
          <w:bCs/>
          <w:color w:val="000000" w:themeColor="text1"/>
          <w:sz w:val="28"/>
          <w:szCs w:val="28"/>
        </w:rPr>
        <w:t>об’єднаної кредитної спілки</w:t>
      </w:r>
      <w:r w:rsidR="00E50BAA" w:rsidRPr="00C17BAC">
        <w:rPr>
          <w:bCs/>
          <w:color w:val="000000" w:themeColor="text1"/>
          <w:sz w:val="28"/>
          <w:szCs w:val="28"/>
        </w:rPr>
        <w:t xml:space="preserve"> розрахунку їх поворотності</w:t>
      </w:r>
      <w:r w:rsidR="003531B3" w:rsidRPr="00C17BAC">
        <w:rPr>
          <w:bCs/>
          <w:color w:val="000000" w:themeColor="text1"/>
          <w:sz w:val="28"/>
          <w:szCs w:val="28"/>
        </w:rPr>
        <w:t xml:space="preserve"> у </w:t>
      </w:r>
      <w:r w:rsidR="00F11311" w:rsidRPr="00C17BAC">
        <w:rPr>
          <w:bCs/>
          <w:color w:val="000000" w:themeColor="text1"/>
          <w:sz w:val="28"/>
          <w:szCs w:val="28"/>
        </w:rPr>
        <w:t xml:space="preserve">строки, </w:t>
      </w:r>
      <w:r w:rsidR="003531B3" w:rsidRPr="00C17BAC">
        <w:rPr>
          <w:bCs/>
          <w:color w:val="000000" w:themeColor="text1"/>
          <w:sz w:val="28"/>
          <w:szCs w:val="28"/>
        </w:rPr>
        <w:t xml:space="preserve">визначені </w:t>
      </w:r>
      <w:r w:rsidR="00637549" w:rsidRPr="00C17BAC">
        <w:rPr>
          <w:bCs/>
          <w:color w:val="000000" w:themeColor="text1"/>
          <w:sz w:val="28"/>
          <w:szCs w:val="28"/>
        </w:rPr>
        <w:t>в заявці на кредит.</w:t>
      </w:r>
    </w:p>
    <w:p w:rsidR="00E50BAA" w:rsidRPr="00C17BAC" w:rsidRDefault="00E50BAA" w:rsidP="00557A91">
      <w:pPr>
        <w:pStyle w:val="Default"/>
        <w:ind w:firstLine="567"/>
        <w:contextualSpacing/>
        <w:jc w:val="both"/>
        <w:rPr>
          <w:color w:val="000000" w:themeColor="text1"/>
        </w:rPr>
      </w:pPr>
    </w:p>
    <w:p w:rsidR="00E50BAA" w:rsidRPr="00C17BAC" w:rsidRDefault="00E50BAA" w:rsidP="00557A91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32"/>
          <w:lang w:eastAsia="uk-UA"/>
        </w:rPr>
      </w:pPr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>ІІІ</w:t>
      </w:r>
      <w:r w:rsidR="001040E5">
        <w:rPr>
          <w:rFonts w:ascii="Times New Roman" w:hAnsi="Times New Roman" w:cs="Times New Roman"/>
          <w:color w:val="auto"/>
          <w:sz w:val="28"/>
          <w:szCs w:val="32"/>
          <w:lang w:eastAsia="uk-UA"/>
        </w:rPr>
        <w:t>.</w:t>
      </w:r>
      <w:r w:rsidR="005D7BA1"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</w:t>
      </w:r>
      <w:r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Фонд стабілізації </w:t>
      </w:r>
      <w:r w:rsidR="005D7BA1" w:rsidRPr="00C17BAC">
        <w:rPr>
          <w:rFonts w:ascii="Times New Roman" w:hAnsi="Times New Roman" w:cs="Times New Roman"/>
          <w:color w:val="auto"/>
          <w:sz w:val="28"/>
          <w:szCs w:val="32"/>
          <w:lang w:eastAsia="uk-UA"/>
        </w:rPr>
        <w:t>об’єднаної кредитної спілки</w:t>
      </w:r>
    </w:p>
    <w:p w:rsidR="00E50BAA" w:rsidRPr="00C17BAC" w:rsidRDefault="00E50BAA" w:rsidP="00557A91">
      <w:pPr>
        <w:pStyle w:val="Default"/>
        <w:ind w:firstLine="567"/>
        <w:contextualSpacing/>
        <w:jc w:val="both"/>
        <w:rPr>
          <w:bCs/>
          <w:color w:val="000000" w:themeColor="text1"/>
          <w:u w:val="single"/>
        </w:rPr>
      </w:pPr>
    </w:p>
    <w:p w:rsidR="00EF6AB6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EF6A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може </w:t>
      </w:r>
      <w:r w:rsidR="009A64E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EF6A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творити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EF6A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стабілізації для підтримки платоспроможності членів </w:t>
      </w:r>
      <w:r w:rsidR="00190E1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EF6AB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03220" w:rsidRPr="00C17BAC" w:rsidRDefault="00503220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5165B5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Особливості діяльності та управління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ом стабілізації</w:t>
      </w:r>
      <w:r w:rsidR="00190E1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та використання його активів встановлюються </w:t>
      </w:r>
      <w:r w:rsidR="004A008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Законом про кредитні спілки, цим</w:t>
      </w:r>
      <w:r w:rsidR="00677D2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Положення</w:t>
      </w:r>
      <w:r w:rsidR="004A0084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 внутрішніми документами об’єднаної кредитної спілки</w:t>
      </w:r>
      <w:r w:rsidR="00677D2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06414" w:rsidRPr="00C17BAC" w:rsidRDefault="00C06414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6655F2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6655F2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кредитна спілка, яка </w:t>
      </w:r>
      <w:r w:rsidR="009A64E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творює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стабілізації, повинна дотримуватися вимог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визначених </w:t>
      </w:r>
      <w:r w:rsidR="001105F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пунктах 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24</w:t>
      </w:r>
      <w:r w:rsidR="000D47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−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32</w:t>
      </w:r>
      <w:r w:rsidR="00520B8C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11F51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розділу</w:t>
      </w:r>
      <w:r w:rsidR="00677D2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ІІІ цього Положення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06414" w:rsidRPr="00C17BAC" w:rsidRDefault="00C06414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511F51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DF6896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стабілізації створюється за рішення</w:t>
      </w:r>
      <w:r w:rsidR="0076639E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="00511F5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загальних зборів об’єднаної кредитної спілки.</w:t>
      </w:r>
    </w:p>
    <w:p w:rsidR="00C06414" w:rsidRPr="00C17BAC" w:rsidRDefault="00C06414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2E55F8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Загальні збори </w:t>
      </w:r>
      <w:r w:rsidR="00746F83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членів 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1105F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яка </w:t>
      </w:r>
      <w:r w:rsidR="009A64E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1105F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творює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1105FA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стабілізації</w:t>
      </w:r>
      <w:r w:rsidR="005165B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DD10CE" w:rsidRPr="00C17BAC" w:rsidRDefault="00DD10CE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677D28" w:rsidRPr="00C17BAC" w:rsidRDefault="00637811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 </w:t>
      </w:r>
      <w:r w:rsidR="00677D2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обирають із числа членів </w:t>
      </w:r>
      <w:r w:rsidR="000B69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наглядової </w:t>
      </w:r>
      <w:r w:rsidR="00677D2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ради об’єднаної кредитної спілки комітет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677D2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</w:t>
      </w:r>
      <w:r w:rsidR="00060F5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для управління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060F5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ом стабілізації;</w:t>
      </w:r>
    </w:p>
    <w:p w:rsidR="00DC221B" w:rsidRPr="00C17BAC" w:rsidRDefault="00DC221B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A06BF8" w:rsidRPr="00C17BAC" w:rsidRDefault="00637811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2) </w:t>
      </w:r>
      <w:r w:rsidR="00060F5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визначають можливі джерела формування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060F50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стабілізації</w:t>
      </w:r>
      <w:r w:rsidR="00A06BF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06BF8" w:rsidRPr="00C17BAC" w:rsidRDefault="00A06BF8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60F50" w:rsidRPr="00C17BAC" w:rsidRDefault="00A06BF8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3)</w:t>
      </w:r>
      <w:r w:rsidR="0063781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100D43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визначають </w:t>
      </w:r>
      <w:r w:rsidR="0057076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загальні умови його використання</w:t>
      </w:r>
      <w:r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60F50" w:rsidRPr="00C17BAC" w:rsidRDefault="00060F50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2E55F8" w:rsidRPr="00C17BAC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2E55F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Комітет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EB3181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стабілізації:</w:t>
      </w:r>
    </w:p>
    <w:p w:rsidR="00DD10CE" w:rsidRPr="00C17BAC" w:rsidRDefault="00DD10CE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F649B" w:rsidRPr="00C17BAC" w:rsidRDefault="00637811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1) 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здійснює розгляд заявок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членів </w:t>
      </w:r>
      <w:r w:rsidR="00190E1E" w:rsidRPr="00C17BAC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щодо отримання коштів з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>у стабілізації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;</w:t>
      </w:r>
    </w:p>
    <w:p w:rsidR="00DC221B" w:rsidRPr="00C17BAC" w:rsidRDefault="00DC221B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FF649B" w:rsidRPr="00C17BAC" w:rsidRDefault="00161599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2</w:t>
      </w:r>
      <w:r w:rsidR="00637811" w:rsidRPr="00C17BAC">
        <w:rPr>
          <w:rFonts w:eastAsia="SimSun"/>
          <w:color w:val="000000" w:themeColor="text1"/>
          <w:sz w:val="28"/>
          <w:szCs w:val="28"/>
          <w:lang w:eastAsia="uk-UA"/>
        </w:rPr>
        <w:t>) </w:t>
      </w:r>
      <w:r w:rsidR="002E6B6A">
        <w:rPr>
          <w:rFonts w:eastAsia="SimSun"/>
          <w:color w:val="000000" w:themeColor="text1"/>
          <w:sz w:val="28"/>
          <w:szCs w:val="28"/>
          <w:lang w:eastAsia="uk-UA"/>
        </w:rPr>
        <w:t>має право</w:t>
      </w:r>
      <w:r w:rsidR="002E6B6A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звертатися до ризик- або комплаєнс-менеджерів </w:t>
      </w:r>
      <w:r w:rsidR="003F6B5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для отримання </w:t>
      </w:r>
      <w:r w:rsidR="00C868FE">
        <w:rPr>
          <w:rFonts w:eastAsia="SimSun"/>
          <w:color w:val="000000" w:themeColor="text1"/>
          <w:sz w:val="28"/>
          <w:szCs w:val="28"/>
          <w:lang w:eastAsia="uk-UA"/>
        </w:rPr>
        <w:t xml:space="preserve">висновків 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та </w:t>
      </w:r>
      <w:r w:rsidR="00F36A54" w:rsidRPr="00C17BAC">
        <w:rPr>
          <w:rFonts w:eastAsia="SimSun"/>
          <w:color w:val="000000" w:themeColor="text1"/>
          <w:sz w:val="28"/>
          <w:szCs w:val="28"/>
          <w:lang w:eastAsia="uk-UA"/>
        </w:rPr>
        <w:t>виконавчого органу об</w:t>
      </w:r>
      <w:r w:rsidR="00B85B71">
        <w:rPr>
          <w:rFonts w:eastAsia="SimSun"/>
          <w:color w:val="000000" w:themeColor="text1"/>
          <w:sz w:val="28"/>
          <w:szCs w:val="28"/>
          <w:lang w:eastAsia="uk-UA"/>
        </w:rPr>
        <w:t>’</w:t>
      </w:r>
      <w:r w:rsidR="00F36A54" w:rsidRPr="00C17BAC">
        <w:rPr>
          <w:rFonts w:eastAsia="SimSun"/>
          <w:color w:val="000000" w:themeColor="text1"/>
          <w:sz w:val="28"/>
          <w:szCs w:val="28"/>
          <w:lang w:eastAsia="uk-UA"/>
        </w:rPr>
        <w:t>єднаної кредитної спілки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для отримання </w:t>
      </w:r>
      <w:r w:rsidR="00D9240F">
        <w:rPr>
          <w:rFonts w:eastAsia="SimSun"/>
          <w:color w:val="000000" w:themeColor="text1"/>
          <w:sz w:val="28"/>
          <w:szCs w:val="28"/>
          <w:lang w:eastAsia="uk-UA"/>
        </w:rPr>
        <w:t xml:space="preserve">попереднього рішення щодо </w:t>
      </w:r>
      <w:r w:rsidR="003F6B59">
        <w:rPr>
          <w:rFonts w:eastAsia="SimSun"/>
          <w:color w:val="000000" w:themeColor="text1"/>
          <w:sz w:val="28"/>
          <w:szCs w:val="28"/>
          <w:lang w:eastAsia="uk-UA"/>
        </w:rPr>
        <w:t xml:space="preserve">розгляду 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заяв</w:t>
      </w:r>
      <w:r w:rsidR="00D9240F">
        <w:rPr>
          <w:rFonts w:eastAsia="SimSun"/>
          <w:color w:val="000000" w:themeColor="text1"/>
          <w:sz w:val="28"/>
          <w:szCs w:val="28"/>
          <w:lang w:eastAsia="uk-UA"/>
        </w:rPr>
        <w:t>ки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члена </w:t>
      </w:r>
      <w:r w:rsidR="00190E1E" w:rsidRPr="00C17BAC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; </w:t>
      </w:r>
    </w:p>
    <w:p w:rsidR="00DC221B" w:rsidRPr="00C17BAC" w:rsidRDefault="00DC221B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FF649B" w:rsidRPr="00C17BAC" w:rsidRDefault="00161599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3</w:t>
      </w:r>
      <w:r w:rsidR="00637811" w:rsidRPr="00C17BAC">
        <w:rPr>
          <w:rFonts w:eastAsia="SimSun"/>
          <w:color w:val="000000" w:themeColor="text1"/>
          <w:sz w:val="28"/>
          <w:szCs w:val="28"/>
          <w:lang w:eastAsia="uk-UA"/>
        </w:rPr>
        <w:t>) 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приймає рішення про надання або відмову в наданні коштів з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у стабілізації 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>за результатом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опрацювання </w:t>
      </w:r>
      <w:r w:rsidR="001520FE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працівниками об’єднаної кредитної спілки 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заявок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членів </w:t>
      </w:r>
      <w:r w:rsidR="00190E1E" w:rsidRPr="00C17BAC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та </w:t>
      </w:r>
      <w:r w:rsidR="003F6B59">
        <w:rPr>
          <w:rFonts w:eastAsia="SimSun"/>
          <w:color w:val="000000" w:themeColor="text1"/>
          <w:sz w:val="28"/>
          <w:szCs w:val="28"/>
          <w:lang w:eastAsia="uk-UA"/>
        </w:rPr>
        <w:t xml:space="preserve">висновків </w:t>
      </w:r>
      <w:r w:rsidR="002E6B6A" w:rsidRPr="00C17BAC">
        <w:rPr>
          <w:rFonts w:eastAsia="SimSun"/>
          <w:color w:val="000000" w:themeColor="text1"/>
          <w:sz w:val="28"/>
          <w:szCs w:val="28"/>
          <w:lang w:eastAsia="uk-UA"/>
        </w:rPr>
        <w:t>ризик-</w:t>
      </w:r>
      <w:r w:rsidR="00B85B71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2E6B6A" w:rsidRPr="00C17BAC">
        <w:rPr>
          <w:rFonts w:eastAsia="SimSun"/>
          <w:color w:val="000000" w:themeColor="text1"/>
          <w:sz w:val="28"/>
          <w:szCs w:val="28"/>
          <w:lang w:eastAsia="uk-UA"/>
        </w:rPr>
        <w:t>або комплаєнс-менеджерів</w:t>
      </w:r>
      <w:r w:rsidR="002E6B6A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="002E6B6A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3F6B59">
        <w:rPr>
          <w:rFonts w:eastAsia="SimSun"/>
          <w:color w:val="000000" w:themeColor="text1"/>
          <w:sz w:val="28"/>
          <w:szCs w:val="28"/>
          <w:lang w:eastAsia="uk-UA"/>
        </w:rPr>
        <w:t>попереднього рішення</w:t>
      </w:r>
      <w:r w:rsidR="003F6B5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2E6B6A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виконавчого органу об’єднаної кредитної спілки </w:t>
      </w:r>
      <w:r w:rsidR="008A262A" w:rsidRPr="00C17BAC">
        <w:rPr>
          <w:rFonts w:eastAsia="SimSun"/>
          <w:color w:val="000000" w:themeColor="text1"/>
          <w:sz w:val="28"/>
          <w:szCs w:val="28"/>
          <w:lang w:eastAsia="uk-UA"/>
        </w:rPr>
        <w:t>(</w:t>
      </w:r>
      <w:r w:rsidR="00B85B71">
        <w:rPr>
          <w:rFonts w:eastAsia="SimSun"/>
          <w:color w:val="000000" w:themeColor="text1"/>
          <w:sz w:val="28"/>
          <w:szCs w:val="28"/>
          <w:lang w:eastAsia="uk-UA"/>
        </w:rPr>
        <w:t>за</w:t>
      </w:r>
      <w:r w:rsidR="008A262A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наявності)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;</w:t>
      </w:r>
    </w:p>
    <w:p w:rsidR="00DC221B" w:rsidRPr="00C17BAC" w:rsidRDefault="00DC221B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FF649B" w:rsidRPr="00C17BAC" w:rsidRDefault="00161599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4</w:t>
      </w:r>
      <w:r w:rsidR="00637811" w:rsidRPr="00C17BAC">
        <w:rPr>
          <w:rFonts w:eastAsia="SimSun"/>
          <w:color w:val="000000" w:themeColor="text1"/>
          <w:sz w:val="28"/>
          <w:szCs w:val="28"/>
          <w:lang w:eastAsia="uk-UA"/>
        </w:rPr>
        <w:t>) 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визнача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>є умови</w:t>
      </w:r>
      <w:r w:rsidR="001520FE" w:rsidRPr="00C17BAC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D308D5">
        <w:rPr>
          <w:rFonts w:eastAsia="SimSun"/>
          <w:color w:val="000000" w:themeColor="text1"/>
          <w:sz w:val="28"/>
          <w:szCs w:val="28"/>
          <w:lang w:eastAsia="uk-UA"/>
        </w:rPr>
        <w:t>за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яких</w:t>
      </w:r>
      <w:r w:rsidR="007C08ED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BE10B5" w:rsidRPr="00C17BAC">
        <w:rPr>
          <w:rFonts w:eastAsia="SimSun"/>
          <w:color w:val="000000" w:themeColor="text1"/>
          <w:sz w:val="28"/>
          <w:szCs w:val="28"/>
          <w:lang w:eastAsia="uk-UA"/>
        </w:rPr>
        <w:t>нада</w:t>
      </w:r>
      <w:r w:rsidR="00D308D5">
        <w:rPr>
          <w:rFonts w:eastAsia="SimSun"/>
          <w:color w:val="000000" w:themeColor="text1"/>
          <w:sz w:val="28"/>
          <w:szCs w:val="28"/>
          <w:lang w:eastAsia="uk-UA"/>
        </w:rPr>
        <w:t>ватимуться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кошти </w:t>
      </w:r>
      <w:r w:rsidR="008F1FD2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членам об’єднаної кредитної спілки 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з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FF649B" w:rsidRPr="00C17BAC">
        <w:rPr>
          <w:rFonts w:eastAsia="SimSun"/>
          <w:color w:val="000000" w:themeColor="text1"/>
          <w:sz w:val="28"/>
          <w:szCs w:val="28"/>
          <w:lang w:eastAsia="uk-UA"/>
        </w:rPr>
        <w:t>у стабілізації</w:t>
      </w: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;</w:t>
      </w:r>
    </w:p>
    <w:p w:rsidR="00DC221B" w:rsidRPr="00C17BAC" w:rsidRDefault="00DC221B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CC0A71" w:rsidRPr="00C17BAC" w:rsidRDefault="00637811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rFonts w:eastAsia="SimSun"/>
          <w:color w:val="000000" w:themeColor="text1"/>
          <w:sz w:val="28"/>
          <w:szCs w:val="28"/>
          <w:lang w:eastAsia="uk-UA"/>
        </w:rPr>
        <w:t>5) 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визначає напрями інвестування вільних коштів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>у стабілізації, дотри</w:t>
      </w:r>
      <w:r w:rsidR="001105FA" w:rsidRPr="00C17BAC">
        <w:rPr>
          <w:rFonts w:eastAsia="SimSun"/>
          <w:color w:val="000000" w:themeColor="text1"/>
          <w:sz w:val="28"/>
          <w:szCs w:val="28"/>
          <w:lang w:eastAsia="uk-UA"/>
        </w:rPr>
        <w:t>муючись обмежень, встановлених у</w:t>
      </w:r>
      <w:r w:rsidR="00161599" w:rsidRPr="00C17BAC">
        <w:rPr>
          <w:rFonts w:eastAsia="SimSun"/>
          <w:color w:val="000000" w:themeColor="text1"/>
          <w:sz w:val="28"/>
          <w:szCs w:val="28"/>
          <w:lang w:eastAsia="uk-UA"/>
        </w:rPr>
        <w:t xml:space="preserve"> пункті </w:t>
      </w:r>
      <w:r w:rsidR="00520B8C" w:rsidRPr="00C17BAC">
        <w:rPr>
          <w:rFonts w:eastAsia="SimSun"/>
          <w:color w:val="000000" w:themeColor="text1"/>
          <w:sz w:val="28"/>
          <w:szCs w:val="28"/>
          <w:lang w:eastAsia="uk-UA"/>
        </w:rPr>
        <w:t>2</w:t>
      </w:r>
      <w:r w:rsidR="00520B8C">
        <w:rPr>
          <w:rFonts w:eastAsia="SimSun"/>
          <w:color w:val="000000" w:themeColor="text1"/>
          <w:sz w:val="28"/>
          <w:szCs w:val="28"/>
          <w:lang w:eastAsia="uk-UA"/>
        </w:rPr>
        <w:t>8</w:t>
      </w:r>
      <w:r w:rsidR="00520B8C" w:rsidRPr="00883F38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1105FA" w:rsidRPr="00883F38">
        <w:rPr>
          <w:rFonts w:eastAsia="SimSun"/>
          <w:color w:val="000000" w:themeColor="text1"/>
          <w:sz w:val="28"/>
          <w:szCs w:val="28"/>
          <w:lang w:eastAsia="uk-UA"/>
        </w:rPr>
        <w:t xml:space="preserve">розділу ІІІ </w:t>
      </w:r>
      <w:r w:rsidR="00161599" w:rsidRPr="00883F38">
        <w:rPr>
          <w:rFonts w:eastAsia="SimSun"/>
          <w:color w:val="000000" w:themeColor="text1"/>
          <w:sz w:val="28"/>
          <w:szCs w:val="28"/>
          <w:lang w:eastAsia="uk-UA"/>
        </w:rPr>
        <w:t>цього Положення</w:t>
      </w:r>
      <w:r w:rsidR="00CC0A71" w:rsidRPr="00C17BAC">
        <w:rPr>
          <w:rFonts w:eastAsia="SimSun"/>
          <w:color w:val="000000" w:themeColor="text1"/>
          <w:sz w:val="28"/>
          <w:szCs w:val="28"/>
          <w:lang w:eastAsia="uk-UA"/>
        </w:rPr>
        <w:t>;</w:t>
      </w:r>
    </w:p>
    <w:p w:rsidR="00CC0A71" w:rsidRPr="002146A0" w:rsidRDefault="00CC0A71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0"/>
          <w:szCs w:val="20"/>
          <w:lang w:eastAsia="uk-UA"/>
        </w:rPr>
      </w:pPr>
    </w:p>
    <w:p w:rsidR="00161599" w:rsidRPr="00C17BAC" w:rsidRDefault="00637811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C17BAC">
        <w:rPr>
          <w:bCs/>
          <w:color w:val="000000" w:themeColor="text1"/>
          <w:sz w:val="28"/>
        </w:rPr>
        <w:t>6) </w:t>
      </w:r>
      <w:r w:rsidR="00CC0A71" w:rsidRPr="00C17BAC">
        <w:rPr>
          <w:bCs/>
          <w:color w:val="000000" w:themeColor="text1"/>
          <w:sz w:val="28"/>
        </w:rPr>
        <w:t xml:space="preserve">на регулярній основі, але не рідше одного разу на рік подає на розгляд та затвердження загальних зборів членів об’єднаної кредитної спілки звіт про використання коштів </w:t>
      </w:r>
      <w:r w:rsidR="00DF6896">
        <w:rPr>
          <w:bCs/>
          <w:color w:val="000000" w:themeColor="text1"/>
          <w:sz w:val="28"/>
        </w:rPr>
        <w:t>фонд</w:t>
      </w:r>
      <w:r w:rsidR="00CC0A71" w:rsidRPr="00C17BAC">
        <w:rPr>
          <w:bCs/>
          <w:color w:val="000000" w:themeColor="text1"/>
          <w:sz w:val="28"/>
        </w:rPr>
        <w:t xml:space="preserve">у </w:t>
      </w:r>
      <w:r w:rsidR="00CC0A71" w:rsidRPr="00C17BAC">
        <w:rPr>
          <w:rFonts w:eastAsia="SimSun"/>
          <w:color w:val="000000" w:themeColor="text1"/>
          <w:sz w:val="28"/>
          <w:szCs w:val="28"/>
          <w:lang w:eastAsia="uk-UA"/>
        </w:rPr>
        <w:t>стабілізації.</w:t>
      </w:r>
    </w:p>
    <w:p w:rsidR="00161599" w:rsidRPr="00C17BAC" w:rsidRDefault="00161599" w:rsidP="00557A91">
      <w:pPr>
        <w:pStyle w:val="Default"/>
        <w:ind w:firstLine="567"/>
        <w:contextualSpacing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264FB8" w:rsidRPr="00883F38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264FB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Комітет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264FB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стабілізації приймає рішення, визначені в підпунктах 3</w:t>
      </w:r>
      <w:r w:rsidR="00D308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−</w:t>
      </w:r>
      <w:r w:rsidR="00264FB8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5 пункту 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26</w:t>
      </w:r>
      <w:r w:rsidR="00520B8C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3F3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розділу ІІІ</w:t>
      </w:r>
      <w:r w:rsidR="00883F3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64FB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цього Положення, </w:t>
      </w:r>
      <w:r w:rsidR="00F16F2F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якщо за нього проголосували не менше </w:t>
      </w:r>
      <w:r w:rsidR="000B69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2/3</w:t>
      </w:r>
      <w:r w:rsidR="00F16F2F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членів </w:t>
      </w:r>
      <w:r w:rsidR="00F16F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  <w:r w:rsidR="00694AA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від його персонального складу</w:t>
      </w:r>
      <w:r w:rsidR="00161599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065EB9" w:rsidRPr="00254A72" w:rsidRDefault="0016159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Член комітету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стабілізації не має права брати участ</w:t>
      </w:r>
      <w:r w:rsidR="00D308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308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308D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прийнятті рішення комітетом у разі виникнення </w:t>
      </w:r>
      <w:r w:rsidR="00D308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308D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нього реального чи потенційного конфлікту інтересів.</w:t>
      </w:r>
    </w:p>
    <w:p w:rsidR="00FF649B" w:rsidRPr="00254A72" w:rsidRDefault="00FF649B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C3500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0C350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Вільні кошти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0C350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</w:t>
      </w:r>
      <w:r w:rsidR="00FF649B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0C350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577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розміщуватися</w:t>
      </w:r>
      <w:r w:rsidR="000C350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225C9" w:rsidRPr="00254A72" w:rsidRDefault="002225C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F649B" w:rsidRPr="00254A72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</w:rPr>
      </w:pPr>
      <w:r w:rsidRPr="00254A72">
        <w:rPr>
          <w:rFonts w:eastAsia="SimSun"/>
          <w:color w:val="000000" w:themeColor="text1"/>
          <w:sz w:val="28"/>
          <w:szCs w:val="28"/>
          <w:lang w:eastAsia="uk-UA"/>
        </w:rPr>
        <w:t>1) </w:t>
      </w:r>
      <w:r w:rsidR="00663BA4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на </w:t>
      </w:r>
      <w:r w:rsidR="000B6996" w:rsidRPr="00F1040B">
        <w:rPr>
          <w:rFonts w:eastAsia="SimSun"/>
          <w:color w:val="000000" w:themeColor="text1"/>
          <w:sz w:val="28"/>
          <w:szCs w:val="28"/>
          <w:lang w:eastAsia="uk-UA"/>
        </w:rPr>
        <w:t xml:space="preserve">депозитних та інших </w:t>
      </w:r>
      <w:r w:rsidR="00663BA4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рахунках </w:t>
      </w:r>
      <w:r w:rsidR="008F1FD2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у </w:t>
      </w:r>
      <w:r w:rsidR="00663BA4" w:rsidRPr="00254A72">
        <w:rPr>
          <w:rFonts w:eastAsia="SimSun"/>
          <w:color w:val="000000" w:themeColor="text1"/>
          <w:sz w:val="28"/>
          <w:szCs w:val="28"/>
          <w:lang w:eastAsia="uk-UA"/>
        </w:rPr>
        <w:t>банках</w:t>
      </w:r>
      <w:r w:rsidR="000B6996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0B6996" w:rsidRPr="00373CF5">
        <w:rPr>
          <w:rFonts w:eastAsia="SimSun"/>
          <w:color w:val="000000" w:themeColor="text1"/>
          <w:sz w:val="28"/>
          <w:szCs w:val="28"/>
          <w:lang w:eastAsia="uk-UA"/>
        </w:rPr>
        <w:t>за умови</w:t>
      </w:r>
      <w:r w:rsidR="000435A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, </w:t>
      </w:r>
      <w:r w:rsidR="00C9793B">
        <w:rPr>
          <w:rFonts w:eastAsia="SimSun"/>
          <w:color w:val="000000" w:themeColor="text1"/>
          <w:sz w:val="28"/>
          <w:szCs w:val="28"/>
          <w:lang w:eastAsia="uk-UA"/>
        </w:rPr>
        <w:t xml:space="preserve">що </w:t>
      </w:r>
      <w:r w:rsidR="000435A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максимальна сума </w:t>
      </w:r>
      <w:r w:rsidR="00C9793B"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розміщених у такий спосіб коштів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не </w:t>
      </w:r>
      <w:r w:rsidR="0022211E" w:rsidRPr="00254A72">
        <w:rPr>
          <w:rFonts w:eastAsia="SimSun"/>
          <w:color w:val="000000" w:themeColor="text1"/>
          <w:sz w:val="28"/>
          <w:szCs w:val="28"/>
          <w:lang w:eastAsia="uk-UA"/>
        </w:rPr>
        <w:t>перевищує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80% від загальної суми коштів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у стабілізації. </w:t>
      </w:r>
      <w:r w:rsidR="00C22218">
        <w:rPr>
          <w:rFonts w:eastAsia="SimSun"/>
          <w:color w:val="000000" w:themeColor="text1"/>
          <w:sz w:val="28"/>
          <w:szCs w:val="28"/>
          <w:lang w:eastAsia="uk-UA"/>
        </w:rPr>
        <w:t>Водночас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частка в одному банку не </w:t>
      </w:r>
      <w:r w:rsidR="0022211E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може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перевищувати </w:t>
      </w:r>
      <w:r w:rsidR="00C9793B">
        <w:rPr>
          <w:rFonts w:eastAsia="SimSun"/>
          <w:color w:val="000000" w:themeColor="text1"/>
          <w:sz w:val="28"/>
          <w:szCs w:val="28"/>
          <w:lang w:eastAsia="uk-UA"/>
        </w:rPr>
        <w:t>35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% від </w:t>
      </w:r>
      <w:r w:rsidR="00F037C7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загальної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суми </w:t>
      </w:r>
      <w:r w:rsidR="008F1FD2" w:rsidRPr="00254A72">
        <w:rPr>
          <w:rFonts w:eastAsia="SimSun"/>
          <w:color w:val="000000" w:themeColor="text1"/>
          <w:sz w:val="28"/>
          <w:szCs w:val="28"/>
          <w:lang w:eastAsia="uk-UA"/>
        </w:rPr>
        <w:t>коштів</w:t>
      </w:r>
      <w:r w:rsidR="00733DE7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733DE7">
        <w:rPr>
          <w:rFonts w:eastAsia="SimSun"/>
          <w:color w:val="000000" w:themeColor="text1"/>
          <w:sz w:val="28"/>
          <w:szCs w:val="28"/>
          <w:lang w:eastAsia="uk-UA"/>
        </w:rPr>
        <w:t>у стабілізації</w:t>
      </w:r>
      <w:r w:rsidR="002E5C6B" w:rsidRPr="00254A72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="008F1FD2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>розміщен</w:t>
      </w:r>
      <w:r w:rsidR="008F1FD2" w:rsidRPr="00254A72">
        <w:rPr>
          <w:rFonts w:eastAsia="SimSun"/>
          <w:color w:val="000000" w:themeColor="text1"/>
          <w:sz w:val="28"/>
          <w:szCs w:val="28"/>
          <w:lang w:eastAsia="uk-UA"/>
        </w:rPr>
        <w:t>их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8F1FD2" w:rsidRPr="00254A72">
        <w:rPr>
          <w:rFonts w:eastAsia="SimSun"/>
          <w:color w:val="000000" w:themeColor="text1"/>
          <w:sz w:val="28"/>
          <w:szCs w:val="28"/>
          <w:lang w:eastAsia="uk-UA"/>
        </w:rPr>
        <w:t>у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банках</w:t>
      </w:r>
      <w:r w:rsidR="00FF649B" w:rsidRPr="00254A72">
        <w:rPr>
          <w:bCs/>
          <w:color w:val="000000" w:themeColor="text1"/>
        </w:rPr>
        <w:t>;</w:t>
      </w:r>
    </w:p>
    <w:p w:rsidR="00DC221B" w:rsidRPr="00254A72" w:rsidRDefault="00DC221B" w:rsidP="00557A91">
      <w:pPr>
        <w:pStyle w:val="Default"/>
        <w:ind w:firstLine="567"/>
        <w:jc w:val="both"/>
        <w:rPr>
          <w:bCs/>
          <w:color w:val="000000" w:themeColor="text1"/>
        </w:rPr>
      </w:pPr>
    </w:p>
    <w:p w:rsidR="00192D62" w:rsidRDefault="00637811" w:rsidP="00557A91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254A72">
        <w:rPr>
          <w:rFonts w:eastAsia="SimSun"/>
          <w:color w:val="000000" w:themeColor="text1"/>
          <w:sz w:val="28"/>
          <w:szCs w:val="28"/>
          <w:lang w:eastAsia="uk-UA"/>
        </w:rPr>
        <w:t>2) </w:t>
      </w:r>
      <w:r w:rsidR="00173212" w:rsidRPr="00254A72">
        <w:rPr>
          <w:rFonts w:eastAsia="SimSun"/>
          <w:color w:val="000000" w:themeColor="text1"/>
          <w:sz w:val="28"/>
          <w:szCs w:val="28"/>
          <w:lang w:eastAsia="uk-UA"/>
        </w:rPr>
        <w:t>у цінні папери, емітовані центральними органами виконавчої влади України або гарантовані Кабінетом Міністрів України,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та облігаці</w:t>
      </w:r>
      <w:r w:rsidR="00116BEB" w:rsidRPr="00254A72">
        <w:rPr>
          <w:rFonts w:eastAsia="SimSun"/>
          <w:color w:val="000000" w:themeColor="text1"/>
          <w:sz w:val="28"/>
          <w:szCs w:val="28"/>
          <w:lang w:eastAsia="uk-UA"/>
        </w:rPr>
        <w:t>ях</w:t>
      </w:r>
      <w:r w:rsidR="0075779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>міжнародних фінансових організацій, що розміщуються на території України</w:t>
      </w:r>
      <w:r w:rsidR="00F037C7" w:rsidRPr="00254A72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="00765416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які не мають обтяження,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0435AC" w:rsidRPr="00254A72">
        <w:rPr>
          <w:rFonts w:eastAsia="SimSun"/>
          <w:color w:val="000000" w:themeColor="text1"/>
          <w:sz w:val="28"/>
          <w:szCs w:val="28"/>
          <w:lang w:eastAsia="uk-UA"/>
        </w:rPr>
        <w:t>максимальний розмір яких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не </w:t>
      </w:r>
      <w:r w:rsidR="000435A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перевищує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40% від 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загальної 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суми </w:t>
      </w:r>
      <w:r w:rsidR="00FF649B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коштів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0C3500" w:rsidRPr="00254A72">
        <w:rPr>
          <w:rFonts w:eastAsia="SimSun"/>
          <w:color w:val="000000" w:themeColor="text1"/>
          <w:sz w:val="28"/>
          <w:szCs w:val="28"/>
          <w:lang w:eastAsia="uk-UA"/>
        </w:rPr>
        <w:t>у стабілізації</w:t>
      </w:r>
      <w:r w:rsidR="00F037C7" w:rsidRPr="00254A72">
        <w:rPr>
          <w:rFonts w:eastAsia="SimSun"/>
          <w:color w:val="000000" w:themeColor="text1"/>
          <w:sz w:val="28"/>
          <w:szCs w:val="28"/>
          <w:lang w:eastAsia="uk-UA"/>
        </w:rPr>
        <w:t>.</w:t>
      </w:r>
    </w:p>
    <w:p w:rsidR="00C9793B" w:rsidRPr="00254A72" w:rsidRDefault="00C9793B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373CF5">
        <w:rPr>
          <w:rFonts w:eastAsia="SimSun"/>
          <w:color w:val="000000" w:themeColor="text1"/>
          <w:sz w:val="28"/>
          <w:szCs w:val="28"/>
          <w:lang w:eastAsia="uk-UA"/>
        </w:rPr>
        <w:lastRenderedPageBreak/>
        <w:t xml:space="preserve">Вимоги щодо розміщення активів, 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зазначених у</w:t>
      </w:r>
      <w:r w:rsidR="004A1FBC"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Pr="00373CF5">
        <w:rPr>
          <w:rFonts w:eastAsia="SimSun"/>
          <w:color w:val="000000" w:themeColor="text1"/>
          <w:sz w:val="28"/>
          <w:szCs w:val="28"/>
          <w:lang w:eastAsia="uk-UA"/>
        </w:rPr>
        <w:t>пункт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і</w:t>
      </w:r>
      <w:r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 28 розділу ІІІ цього Положення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 застосовуються, якщо</w:t>
      </w:r>
      <w:r w:rsidR="007C08ED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загальна сума фонду стабілізації становить не менше 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двох</w:t>
      </w:r>
      <w:r w:rsidR="004A1FBC" w:rsidRPr="00373CF5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Pr="00373CF5">
        <w:rPr>
          <w:rFonts w:eastAsia="SimSun"/>
          <w:color w:val="000000" w:themeColor="text1"/>
          <w:sz w:val="28"/>
          <w:szCs w:val="28"/>
          <w:lang w:eastAsia="uk-UA"/>
        </w:rPr>
        <w:t>млн. гривень.</w:t>
      </w:r>
    </w:p>
    <w:p w:rsidR="00192D62" w:rsidRPr="00254A72" w:rsidRDefault="00192D62" w:rsidP="00557A91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0E0DD4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8F1FD2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Кошти за рахунок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8F1FD2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можуть надаватися члену об’єднаної кредитної спілки </w:t>
      </w:r>
      <w:r w:rsidR="008B1F3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на умовах субординованого боргу та/або у формі безповоротних внесків до капіталу кредитної спілки.</w:t>
      </w:r>
    </w:p>
    <w:p w:rsidR="008F1FD2" w:rsidRPr="00254A72" w:rsidRDefault="008F1FD2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B1F3E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8B1F3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повинна визначити порядок надання коштів за рахунок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8B1F3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у стабілізації</w:t>
      </w:r>
      <w:r w:rsidR="0059684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у внутрішніх положеннях</w:t>
      </w:r>
      <w:r w:rsidR="008B1F3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12ECD" w:rsidRPr="00254A72" w:rsidRDefault="00C12ECD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41E16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841E1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Кошти за рахунок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841E1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можуть надаватися </w:t>
      </w:r>
      <w:r w:rsidR="00FC0F5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члену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A63E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63EEB"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 наявності хоча б однієї з таких підстав</w:t>
      </w:r>
      <w:r w:rsidR="00841E1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225C9" w:rsidRPr="00254A72" w:rsidRDefault="002225C9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41E16" w:rsidRPr="00254A72" w:rsidRDefault="00637811" w:rsidP="00557A91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254A72">
        <w:rPr>
          <w:rFonts w:eastAsia="SimSun"/>
          <w:color w:val="000000" w:themeColor="text1"/>
          <w:sz w:val="28"/>
          <w:szCs w:val="28"/>
          <w:lang w:eastAsia="uk-UA"/>
        </w:rPr>
        <w:t>1) </w:t>
      </w:r>
      <w:r w:rsidR="00841E16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зменшення нормативу достатності </w:t>
      </w:r>
      <w:r w:rsidR="00F4316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регулятивного капіталу (Н1) або </w:t>
      </w:r>
      <w:r w:rsidR="00841E16" w:rsidRPr="00254A72">
        <w:rPr>
          <w:rFonts w:eastAsia="SimSun"/>
          <w:color w:val="000000" w:themeColor="text1"/>
          <w:sz w:val="28"/>
          <w:szCs w:val="28"/>
          <w:lang w:eastAsia="uk-UA"/>
        </w:rPr>
        <w:t>капіталу першого рівня</w:t>
      </w:r>
      <w:r w:rsidR="00F4316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(Н2)</w:t>
      </w:r>
      <w:r w:rsidR="00841E16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F4316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до мінімального або </w:t>
      </w:r>
      <w:r w:rsidR="00C12ECD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нижче мінімального рівня, </w:t>
      </w:r>
      <w:r w:rsidR="00841E16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встановленого </w:t>
      </w:r>
      <w:r w:rsidR="0029560B">
        <w:rPr>
          <w:rFonts w:eastAsia="SimSun"/>
          <w:color w:val="000000" w:themeColor="text1"/>
          <w:sz w:val="28"/>
          <w:szCs w:val="28"/>
          <w:lang w:eastAsia="uk-UA"/>
        </w:rPr>
        <w:t>нормативно-правовим актом Національного банку</w:t>
      </w:r>
      <w:r w:rsidR="00C22218">
        <w:rPr>
          <w:rFonts w:eastAsia="SimSun"/>
          <w:color w:val="000000" w:themeColor="text1"/>
          <w:sz w:val="28"/>
          <w:szCs w:val="28"/>
          <w:lang w:eastAsia="uk-UA"/>
        </w:rPr>
        <w:t>,</w:t>
      </w:r>
      <w:r w:rsidR="0029560B">
        <w:rPr>
          <w:rFonts w:eastAsia="SimSun"/>
          <w:color w:val="000000" w:themeColor="text1"/>
          <w:sz w:val="28"/>
          <w:szCs w:val="28"/>
          <w:lang w:eastAsia="uk-UA"/>
        </w:rPr>
        <w:t xml:space="preserve"> що регулює питання</w:t>
      </w:r>
      <w:r w:rsidR="00841E16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регулюван</w:t>
      </w:r>
      <w:r w:rsidR="00C12ECD" w:rsidRPr="00254A72">
        <w:rPr>
          <w:rFonts w:eastAsia="SimSun"/>
          <w:color w:val="000000" w:themeColor="text1"/>
          <w:sz w:val="28"/>
          <w:szCs w:val="28"/>
          <w:lang w:eastAsia="uk-UA"/>
        </w:rPr>
        <w:t>ня діяльності кредитних спілок</w:t>
      </w:r>
      <w:r w:rsidR="00FB01B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для такого нормативу</w:t>
      </w:r>
      <w:r w:rsidR="001E19C4" w:rsidRPr="00254A72">
        <w:rPr>
          <w:rFonts w:eastAsia="SimSun"/>
          <w:color w:val="000000" w:themeColor="text1"/>
          <w:sz w:val="28"/>
          <w:szCs w:val="28"/>
          <w:lang w:eastAsia="uk-UA"/>
        </w:rPr>
        <w:t>;</w:t>
      </w:r>
    </w:p>
    <w:p w:rsidR="00DC221B" w:rsidRPr="00254A72" w:rsidRDefault="00DC221B" w:rsidP="00557A91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</w:p>
    <w:p w:rsidR="001E19C4" w:rsidRPr="00254A72" w:rsidRDefault="00637811" w:rsidP="00557A91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254A72">
        <w:rPr>
          <w:rFonts w:eastAsia="SimSun"/>
          <w:color w:val="000000" w:themeColor="text1"/>
          <w:sz w:val="28"/>
          <w:szCs w:val="28"/>
          <w:lang w:eastAsia="uk-UA"/>
        </w:rPr>
        <w:t>2) </w:t>
      </w:r>
      <w:r w:rsidR="00AE1DEF" w:rsidRPr="00254A72">
        <w:rPr>
          <w:bCs/>
          <w:color w:val="000000" w:themeColor="text1"/>
          <w:sz w:val="28"/>
          <w:szCs w:val="28"/>
        </w:rPr>
        <w:t>зменшення</w:t>
      </w:r>
      <w:r w:rsidR="006B75D1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у члена </w:t>
      </w:r>
      <w:r w:rsidR="00190E1E" w:rsidRPr="00254A72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520B8C">
        <w:rPr>
          <w:rFonts w:eastAsia="SimSun"/>
          <w:color w:val="000000" w:themeColor="text1"/>
          <w:sz w:val="28"/>
          <w:szCs w:val="28"/>
          <w:lang w:eastAsia="uk-UA"/>
        </w:rPr>
        <w:t xml:space="preserve">, який звернувся щодо отримання коштів з </w:t>
      </w:r>
      <w:r w:rsidR="00DF6896">
        <w:rPr>
          <w:rFonts w:eastAsia="SimSun"/>
          <w:color w:val="000000" w:themeColor="text1"/>
          <w:sz w:val="28"/>
          <w:szCs w:val="28"/>
          <w:lang w:eastAsia="uk-UA"/>
        </w:rPr>
        <w:t>фонд</w:t>
      </w:r>
      <w:r w:rsidR="00520B8C">
        <w:rPr>
          <w:rFonts w:eastAsia="SimSun"/>
          <w:color w:val="000000" w:themeColor="text1"/>
          <w:sz w:val="28"/>
          <w:szCs w:val="28"/>
          <w:lang w:eastAsia="uk-UA"/>
        </w:rPr>
        <w:t>у стабілізації,</w:t>
      </w:r>
      <w:r w:rsidR="00190E1E" w:rsidRPr="00254A72" w:rsidDel="00190E1E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F16F2F">
        <w:rPr>
          <w:rFonts w:eastAsia="SimSun"/>
          <w:color w:val="000000" w:themeColor="text1"/>
          <w:sz w:val="28"/>
          <w:szCs w:val="28"/>
          <w:lang w:eastAsia="uk-UA"/>
        </w:rPr>
        <w:t>показника</w:t>
      </w:r>
      <w:r w:rsidR="00B95FFF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розміру</w:t>
      </w:r>
      <w:r w:rsidR="00AE1DEF" w:rsidRPr="00254A72">
        <w:rPr>
          <w:bCs/>
          <w:color w:val="000000" w:themeColor="text1"/>
          <w:sz w:val="28"/>
          <w:szCs w:val="28"/>
        </w:rPr>
        <w:t xml:space="preserve"> достатності капіталу нижче</w:t>
      </w:r>
      <w:r w:rsidR="001E19C4" w:rsidRPr="00254A72">
        <w:rPr>
          <w:bCs/>
          <w:color w:val="000000" w:themeColor="text1"/>
          <w:sz w:val="28"/>
          <w:szCs w:val="28"/>
        </w:rPr>
        <w:t xml:space="preserve"> мінімального рівня, встановленого об’єднаною кредитною спілкою для свої</w:t>
      </w:r>
      <w:r w:rsidR="003B0FBC" w:rsidRPr="00254A72">
        <w:rPr>
          <w:bCs/>
          <w:color w:val="000000" w:themeColor="text1"/>
          <w:sz w:val="28"/>
          <w:szCs w:val="28"/>
        </w:rPr>
        <w:t>х</w:t>
      </w:r>
      <w:r w:rsidR="001E19C4" w:rsidRPr="00254A72">
        <w:rPr>
          <w:bCs/>
          <w:color w:val="000000" w:themeColor="text1"/>
          <w:sz w:val="28"/>
          <w:szCs w:val="28"/>
        </w:rPr>
        <w:t xml:space="preserve"> членів;</w:t>
      </w:r>
    </w:p>
    <w:p w:rsidR="00DC221B" w:rsidRPr="002146A0" w:rsidRDefault="00DC221B" w:rsidP="00557A91">
      <w:pPr>
        <w:pStyle w:val="Default"/>
        <w:ind w:firstLine="567"/>
        <w:jc w:val="both"/>
        <w:rPr>
          <w:bCs/>
          <w:color w:val="000000" w:themeColor="text1"/>
          <w:sz w:val="22"/>
          <w:szCs w:val="22"/>
        </w:rPr>
      </w:pPr>
    </w:p>
    <w:p w:rsidR="00C12ECD" w:rsidRPr="00254A72" w:rsidRDefault="00AE1DEF" w:rsidP="00557A91">
      <w:pPr>
        <w:pStyle w:val="Default"/>
        <w:ind w:firstLine="567"/>
        <w:jc w:val="both"/>
        <w:rPr>
          <w:rFonts w:eastAsia="SimSun"/>
          <w:color w:val="000000" w:themeColor="text1"/>
          <w:sz w:val="28"/>
          <w:szCs w:val="28"/>
          <w:lang w:eastAsia="uk-UA"/>
        </w:rPr>
      </w:pPr>
      <w:r w:rsidRPr="00254A72">
        <w:rPr>
          <w:rFonts w:eastAsia="SimSun"/>
          <w:color w:val="000000" w:themeColor="text1"/>
          <w:sz w:val="28"/>
          <w:szCs w:val="28"/>
          <w:lang w:eastAsia="uk-UA"/>
        </w:rPr>
        <w:t>3</w:t>
      </w:r>
      <w:r w:rsidR="00637811" w:rsidRPr="00254A72">
        <w:rPr>
          <w:rFonts w:eastAsia="SimSun"/>
          <w:color w:val="000000" w:themeColor="text1"/>
          <w:sz w:val="28"/>
          <w:szCs w:val="28"/>
          <w:lang w:eastAsia="uk-UA"/>
        </w:rPr>
        <w:t>) </w:t>
      </w:r>
      <w:r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необхідності проведення заходів зі збільшення капіталу члена </w:t>
      </w:r>
      <w:r w:rsidR="00190E1E" w:rsidRPr="00254A72">
        <w:rPr>
          <w:rFonts w:eastAsia="SimSu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, 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визначених</w:t>
      </w:r>
      <w:r w:rsidR="004A1FBC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C12ECD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планом відновлення діяльності </w:t>
      </w:r>
      <w:r w:rsidR="00190E1E" w:rsidRPr="00254A72">
        <w:rPr>
          <w:rFonts w:eastAsia="SimSun"/>
          <w:color w:val="000000" w:themeColor="text1"/>
          <w:sz w:val="28"/>
          <w:szCs w:val="28"/>
          <w:lang w:eastAsia="uk-UA"/>
        </w:rPr>
        <w:t>кредитної спілки</w:t>
      </w:r>
      <w:r w:rsidR="00C12ECD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, </w:t>
      </w:r>
      <w:r w:rsidR="00F16F2F" w:rsidRPr="00254A72">
        <w:rPr>
          <w:rFonts w:eastAsia="SimSun"/>
          <w:color w:val="000000" w:themeColor="text1"/>
          <w:sz w:val="28"/>
          <w:szCs w:val="28"/>
          <w:lang w:eastAsia="uk-UA"/>
        </w:rPr>
        <w:t>затверджен</w:t>
      </w:r>
      <w:r w:rsidR="00F16F2F">
        <w:rPr>
          <w:rFonts w:eastAsia="SimSun"/>
          <w:color w:val="000000" w:themeColor="text1"/>
          <w:sz w:val="28"/>
          <w:szCs w:val="28"/>
          <w:lang w:eastAsia="uk-UA"/>
        </w:rPr>
        <w:t>им</w:t>
      </w:r>
      <w:r w:rsidR="00F16F2F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</w:t>
      </w:r>
      <w:r w:rsidR="00EF5657">
        <w:rPr>
          <w:rFonts w:eastAsia="SimSun"/>
          <w:color w:val="000000" w:themeColor="text1"/>
          <w:sz w:val="28"/>
          <w:szCs w:val="28"/>
          <w:lang w:eastAsia="uk-UA"/>
        </w:rPr>
        <w:t xml:space="preserve">рішенням </w:t>
      </w:r>
      <w:r w:rsidR="00663BA4" w:rsidRPr="00254A72">
        <w:rPr>
          <w:rFonts w:eastAsia="SimSun"/>
          <w:color w:val="000000" w:themeColor="text1"/>
          <w:sz w:val="28"/>
          <w:szCs w:val="28"/>
          <w:lang w:eastAsia="uk-UA"/>
        </w:rPr>
        <w:t>Національн</w:t>
      </w:r>
      <w:r w:rsidR="00EF5657">
        <w:rPr>
          <w:rFonts w:eastAsia="SimSun"/>
          <w:color w:val="000000" w:themeColor="text1"/>
          <w:sz w:val="28"/>
          <w:szCs w:val="28"/>
          <w:lang w:eastAsia="uk-UA"/>
        </w:rPr>
        <w:t>ого</w:t>
      </w:r>
      <w:r w:rsidR="00663BA4" w:rsidRPr="00254A72">
        <w:rPr>
          <w:rFonts w:eastAsia="SimSun"/>
          <w:color w:val="000000" w:themeColor="text1"/>
          <w:sz w:val="28"/>
          <w:szCs w:val="28"/>
          <w:lang w:eastAsia="uk-UA"/>
        </w:rPr>
        <w:t xml:space="preserve"> банк</w:t>
      </w:r>
      <w:r w:rsidR="004A1FBC">
        <w:rPr>
          <w:rFonts w:eastAsia="SimSun"/>
          <w:color w:val="000000" w:themeColor="text1"/>
          <w:sz w:val="28"/>
          <w:szCs w:val="28"/>
          <w:lang w:eastAsia="uk-UA"/>
        </w:rPr>
        <w:t>у</w:t>
      </w:r>
      <w:r w:rsidR="00FC0F56" w:rsidRPr="00254A72">
        <w:rPr>
          <w:rFonts w:eastAsia="SimSun"/>
          <w:color w:val="000000" w:themeColor="text1"/>
          <w:sz w:val="28"/>
          <w:szCs w:val="28"/>
          <w:lang w:eastAsia="uk-UA"/>
        </w:rPr>
        <w:t>.</w:t>
      </w:r>
    </w:p>
    <w:p w:rsidR="00841E16" w:rsidRPr="00254A72" w:rsidRDefault="00841E16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C12ECD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245AF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Об’єднаній кредитній спілці надавати кошти</w:t>
      </w:r>
      <w:r w:rsidR="004D0C0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членам об’єдна</w:t>
      </w:r>
      <w:r w:rsidR="00192D62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ної кредитної спілки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</w:t>
      </w:r>
      <w:r w:rsidR="004D0C0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 умов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4A1FB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інших 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ніж визначені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 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пункт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76E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31</w:t>
      </w:r>
      <w:r w:rsidR="00476E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3F38" w:rsidRPr="00D36A3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розділу ІІІ</w:t>
      </w:r>
      <w:r w:rsidR="00883F3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E1DE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цього Положення, забороняється.</w:t>
      </w:r>
    </w:p>
    <w:p w:rsidR="0087430E" w:rsidRPr="00254A72" w:rsidRDefault="0087430E" w:rsidP="00557A91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87430E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87430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Кошти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87430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обліковуються окремо від інших активів об’єднаної кредитної спілки (на окремому </w:t>
      </w:r>
      <w:r w:rsidR="00A005F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банківському рахунку та окремих облікових </w:t>
      </w:r>
      <w:r w:rsidR="0087430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рахунк</w:t>
      </w:r>
      <w:r w:rsidR="00A005F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ах об’єднаної кредитної спілки</w:t>
      </w:r>
      <w:r w:rsidR="0087430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 та не можуть використовуватися для виконання інших зобов’язань об’єднаної кредитної спілки.</w:t>
      </w:r>
    </w:p>
    <w:p w:rsidR="00BA478E" w:rsidRPr="00254A72" w:rsidRDefault="00BA478E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BA478E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BA478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Дохід від використання коштів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BA478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у стабілізації збільшує </w:t>
      </w:r>
      <w:r w:rsidR="00DF689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фонд</w:t>
      </w:r>
      <w:r w:rsidR="00BA478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стабілізації.</w:t>
      </w:r>
    </w:p>
    <w:p w:rsidR="00AE1DEF" w:rsidRPr="00254A72" w:rsidRDefault="00AE1DEF" w:rsidP="00557A91">
      <w:pPr>
        <w:pStyle w:val="Default"/>
        <w:ind w:firstLine="567"/>
        <w:contextualSpacing/>
        <w:jc w:val="both"/>
        <w:rPr>
          <w:bCs/>
          <w:color w:val="000000" w:themeColor="text1"/>
        </w:rPr>
      </w:pPr>
    </w:p>
    <w:p w:rsidR="00CA1318" w:rsidRPr="00254A72" w:rsidRDefault="00E50BAA" w:rsidP="00557A91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32"/>
          <w:lang w:eastAsia="uk-UA"/>
        </w:rPr>
      </w:pPr>
      <w:r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lastRenderedPageBreak/>
        <w:t>ІV</w:t>
      </w:r>
      <w:r w:rsidR="001040E5">
        <w:rPr>
          <w:rFonts w:ascii="Times New Roman" w:hAnsi="Times New Roman" w:cs="Times New Roman"/>
          <w:color w:val="auto"/>
          <w:sz w:val="28"/>
          <w:szCs w:val="32"/>
          <w:lang w:eastAsia="uk-UA"/>
        </w:rPr>
        <w:t>.</w:t>
      </w:r>
      <w:r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</w:t>
      </w:r>
      <w:r w:rsidR="00CA1318"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>Контроль</w:t>
      </w:r>
      <w:r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</w:t>
      </w:r>
      <w:r w:rsidR="00CA1318"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за діяльністю членів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CA1318"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 xml:space="preserve"> та звітування до </w:t>
      </w:r>
      <w:r w:rsidR="00663BA4" w:rsidRPr="00254A72">
        <w:rPr>
          <w:rFonts w:ascii="Times New Roman" w:hAnsi="Times New Roman" w:cs="Times New Roman"/>
          <w:color w:val="auto"/>
          <w:sz w:val="28"/>
          <w:szCs w:val="32"/>
          <w:lang w:eastAsia="uk-UA"/>
        </w:rPr>
        <w:t>Національного банку</w:t>
      </w:r>
    </w:p>
    <w:p w:rsidR="006426EA" w:rsidRPr="00254A72" w:rsidRDefault="006426EA" w:rsidP="00557A91">
      <w:pPr>
        <w:pStyle w:val="Default"/>
        <w:ind w:firstLine="567"/>
        <w:contextualSpacing/>
        <w:jc w:val="both"/>
        <w:rPr>
          <w:color w:val="auto"/>
          <w:szCs w:val="28"/>
        </w:rPr>
      </w:pPr>
    </w:p>
    <w:p w:rsidR="00FD0025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FD002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Об’єднана кредитна спілка </w:t>
      </w:r>
      <w:r w:rsidR="00B034C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 рішенням </w:t>
      </w:r>
      <w:r w:rsidR="00733D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її </w:t>
      </w:r>
      <w:r w:rsidR="00B034C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колегіальних органів </w:t>
      </w:r>
      <w:r w:rsidR="00FD002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може встановлювати додаткові вимоги до членів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A63E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A63EEB" w:rsidRPr="00373C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включаючи, але не обмежуючись вимогами</w:t>
      </w:r>
      <w:r w:rsidR="00FD002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щодо організаційної структури, корпоративного управління, достатності капіталу, </w:t>
      </w:r>
      <w:r w:rsidR="00830ACB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подання </w:t>
      </w:r>
      <w:r w:rsidR="00FE79C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фінансової</w:t>
      </w:r>
      <w:r w:rsidR="00A63EEB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30ACB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звітності</w:t>
      </w:r>
      <w:r w:rsidR="00FD002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D0025" w:rsidRPr="00254A72" w:rsidRDefault="00FD0025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B509C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6426E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Об’єднана кредитна спілка</w:t>
      </w:r>
      <w:r w:rsidR="00FA50C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0137D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проводить 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оцінку діяльності членів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B7516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 дотримання </w:t>
      </w:r>
      <w:r w:rsidR="003E1C35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ними </w:t>
      </w:r>
      <w:r w:rsidR="00B7516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додаткових вимог, встановлених об’єднаною кредитною спілкою</w:t>
      </w:r>
      <w:r w:rsidR="00C86A1D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(у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разі</w:t>
      </w:r>
      <w:r w:rsidR="00C2221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86A1D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їх встановлення)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B509C" w:rsidRPr="00254A72" w:rsidRDefault="00FB509C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B509C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</w:t>
      </w:r>
      <w:r w:rsidR="00663BA4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єднана кредитна спілка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разі виявлення </w:t>
      </w:r>
      <w:r w:rsidR="00A27523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під час здійснення оцінки діяльності членів об’єднаної кредитної спілки 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суттєвих порушень</w:t>
      </w:r>
      <w:r w:rsidR="00FA50C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визначених у пункті </w:t>
      </w:r>
      <w:r w:rsidR="00476E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476E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476EE5" w:rsidRPr="00C17BA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54A72" w:rsidRPr="00D36A3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розділу І</w:t>
      </w:r>
      <w:r w:rsid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V</w:t>
      </w:r>
      <w:r w:rsidR="00254A72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A50C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цього Положення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, протягом 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п’яти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робочих днів повинна повідомити Національний банк про виявлені порушення.</w:t>
      </w:r>
      <w:r w:rsidR="00A27523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FA50C6" w:rsidRPr="00254A72" w:rsidRDefault="00FA50C6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B509C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Суттєвими порушеннями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C2221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діяльності члена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FB509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є:</w:t>
      </w:r>
    </w:p>
    <w:p w:rsidR="002225C9" w:rsidRPr="00254A72" w:rsidRDefault="002225C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BF7807" w:rsidRPr="00254A72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254A72">
        <w:rPr>
          <w:bCs/>
          <w:color w:val="000000" w:themeColor="text1"/>
          <w:sz w:val="28"/>
          <w:szCs w:val="28"/>
        </w:rPr>
        <w:t>1) </w:t>
      </w:r>
      <w:r w:rsidR="00BF7807" w:rsidRPr="00254A72">
        <w:rPr>
          <w:bCs/>
          <w:color w:val="000000" w:themeColor="text1"/>
          <w:sz w:val="28"/>
          <w:szCs w:val="28"/>
        </w:rPr>
        <w:t xml:space="preserve">порушення пруденційних нормативів, визначених </w:t>
      </w:r>
      <w:r w:rsidR="00C22218">
        <w:rPr>
          <w:bCs/>
          <w:color w:val="000000" w:themeColor="text1"/>
          <w:sz w:val="28"/>
          <w:szCs w:val="28"/>
        </w:rPr>
        <w:t xml:space="preserve">у </w:t>
      </w:r>
      <w:r w:rsidR="0043183E">
        <w:rPr>
          <w:bCs/>
          <w:color w:val="000000" w:themeColor="text1"/>
          <w:sz w:val="28"/>
          <w:szCs w:val="28"/>
        </w:rPr>
        <w:t>нормативно-правовому акті Національного банку</w:t>
      </w:r>
      <w:r w:rsidR="00C22218">
        <w:rPr>
          <w:bCs/>
          <w:color w:val="000000" w:themeColor="text1"/>
          <w:sz w:val="28"/>
          <w:szCs w:val="28"/>
        </w:rPr>
        <w:t>,</w:t>
      </w:r>
      <w:r w:rsidR="0043183E">
        <w:rPr>
          <w:bCs/>
          <w:color w:val="000000" w:themeColor="text1"/>
          <w:sz w:val="28"/>
          <w:szCs w:val="28"/>
        </w:rPr>
        <w:t xml:space="preserve"> що регулює питання </w:t>
      </w:r>
      <w:r w:rsidR="00BF7807" w:rsidRPr="00254A72">
        <w:rPr>
          <w:bCs/>
          <w:color w:val="000000" w:themeColor="text1"/>
          <w:sz w:val="28"/>
          <w:szCs w:val="28"/>
        </w:rPr>
        <w:t>регулювання діяльності кредитних спілок;</w:t>
      </w:r>
    </w:p>
    <w:p w:rsidR="00B7516A" w:rsidRPr="00EF5657" w:rsidRDefault="00B7516A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0"/>
          <w:szCs w:val="20"/>
        </w:rPr>
      </w:pPr>
    </w:p>
    <w:p w:rsidR="00BF7807" w:rsidRPr="00254A72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254A72">
        <w:rPr>
          <w:bCs/>
          <w:color w:val="000000" w:themeColor="text1"/>
          <w:sz w:val="28"/>
          <w:szCs w:val="28"/>
        </w:rPr>
        <w:t>2) </w:t>
      </w:r>
      <w:r w:rsidR="00BF7807" w:rsidRPr="00254A72">
        <w:rPr>
          <w:bCs/>
          <w:color w:val="000000" w:themeColor="text1"/>
          <w:sz w:val="28"/>
          <w:szCs w:val="28"/>
        </w:rPr>
        <w:t>порушення вимог, що</w:t>
      </w:r>
      <w:r w:rsidR="00F0604F" w:rsidRPr="00254A72">
        <w:rPr>
          <w:bCs/>
          <w:color w:val="000000" w:themeColor="text1"/>
          <w:sz w:val="28"/>
          <w:szCs w:val="28"/>
        </w:rPr>
        <w:t xml:space="preserve"> встановлені для</w:t>
      </w:r>
      <w:r w:rsidR="009F0F6C" w:rsidRPr="00254A72">
        <w:rPr>
          <w:bCs/>
          <w:color w:val="000000" w:themeColor="text1"/>
          <w:sz w:val="28"/>
          <w:szCs w:val="28"/>
        </w:rPr>
        <w:t xml:space="preserve"> </w:t>
      </w:r>
      <w:r w:rsidR="00BF7807" w:rsidRPr="00254A72">
        <w:rPr>
          <w:bCs/>
          <w:color w:val="000000" w:themeColor="text1"/>
          <w:sz w:val="28"/>
          <w:szCs w:val="28"/>
        </w:rPr>
        <w:t>обмеж</w:t>
      </w:r>
      <w:r w:rsidR="00F0604F" w:rsidRPr="00254A72">
        <w:rPr>
          <w:bCs/>
          <w:color w:val="000000" w:themeColor="text1"/>
          <w:sz w:val="28"/>
          <w:szCs w:val="28"/>
        </w:rPr>
        <w:t>ення</w:t>
      </w:r>
      <w:r w:rsidR="00BF7807" w:rsidRPr="00254A72">
        <w:rPr>
          <w:bCs/>
          <w:color w:val="000000" w:themeColor="text1"/>
          <w:sz w:val="28"/>
          <w:szCs w:val="28"/>
        </w:rPr>
        <w:t xml:space="preserve"> ризик</w:t>
      </w:r>
      <w:r w:rsidR="00F0604F" w:rsidRPr="00254A72">
        <w:rPr>
          <w:bCs/>
          <w:color w:val="000000" w:themeColor="text1"/>
          <w:sz w:val="28"/>
          <w:szCs w:val="28"/>
        </w:rPr>
        <w:t>ів</w:t>
      </w:r>
      <w:r w:rsidR="00BF7807" w:rsidRPr="00254A72">
        <w:rPr>
          <w:bCs/>
          <w:color w:val="000000" w:themeColor="text1"/>
          <w:sz w:val="28"/>
          <w:szCs w:val="28"/>
        </w:rPr>
        <w:t xml:space="preserve"> кредитних спілок за операціями з фінансовими </w:t>
      </w:r>
      <w:r w:rsidR="0050629C" w:rsidRPr="00254A72">
        <w:rPr>
          <w:bCs/>
          <w:color w:val="000000" w:themeColor="text1"/>
          <w:sz w:val="28"/>
          <w:szCs w:val="28"/>
        </w:rPr>
        <w:t>інструментами</w:t>
      </w:r>
      <w:r w:rsidR="00BF7807" w:rsidRPr="00254A72">
        <w:rPr>
          <w:bCs/>
          <w:color w:val="000000" w:themeColor="text1"/>
          <w:sz w:val="28"/>
          <w:szCs w:val="28"/>
        </w:rPr>
        <w:t xml:space="preserve">, визначених </w:t>
      </w:r>
      <w:r w:rsidR="00C22218">
        <w:rPr>
          <w:bCs/>
          <w:color w:val="000000" w:themeColor="text1"/>
          <w:sz w:val="28"/>
          <w:szCs w:val="28"/>
        </w:rPr>
        <w:t>у</w:t>
      </w:r>
      <w:r w:rsidR="00C22218" w:rsidRPr="00254A72">
        <w:rPr>
          <w:bCs/>
          <w:color w:val="000000" w:themeColor="text1"/>
          <w:sz w:val="28"/>
          <w:szCs w:val="28"/>
        </w:rPr>
        <w:t xml:space="preserve"> </w:t>
      </w:r>
      <w:r w:rsidR="003B0FBC" w:rsidRPr="00254A72">
        <w:rPr>
          <w:bCs/>
          <w:color w:val="000000" w:themeColor="text1"/>
          <w:sz w:val="28"/>
          <w:szCs w:val="28"/>
        </w:rPr>
        <w:t>Положенні</w:t>
      </w:r>
      <w:r w:rsidR="00BF7807" w:rsidRPr="00254A72">
        <w:rPr>
          <w:bCs/>
          <w:color w:val="000000" w:themeColor="text1"/>
          <w:sz w:val="28"/>
          <w:szCs w:val="28"/>
        </w:rPr>
        <w:t xml:space="preserve"> про регулювання діяльності кредитних спілок;</w:t>
      </w:r>
    </w:p>
    <w:p w:rsidR="00B7516A" w:rsidRPr="00254A72" w:rsidRDefault="00B7516A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BF7807" w:rsidRPr="00254A72" w:rsidRDefault="00637811" w:rsidP="00557A91">
      <w:pPr>
        <w:pStyle w:val="Default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254A72">
        <w:rPr>
          <w:bCs/>
          <w:color w:val="000000" w:themeColor="text1"/>
          <w:sz w:val="28"/>
          <w:szCs w:val="28"/>
        </w:rPr>
        <w:t>3) </w:t>
      </w:r>
      <w:r w:rsidR="006F2BE3">
        <w:rPr>
          <w:bCs/>
          <w:color w:val="000000" w:themeColor="text1"/>
          <w:sz w:val="28"/>
          <w:szCs w:val="28"/>
        </w:rPr>
        <w:t>інші порушення, які об’єднана кредитна спілка вважає суттєвими</w:t>
      </w:r>
      <w:r w:rsidR="00BF7807" w:rsidRPr="00254A72">
        <w:rPr>
          <w:bCs/>
          <w:color w:val="000000" w:themeColor="text1"/>
          <w:sz w:val="28"/>
          <w:szCs w:val="28"/>
        </w:rPr>
        <w:t>.</w:t>
      </w:r>
    </w:p>
    <w:p w:rsidR="00FB509C" w:rsidRPr="00254A72" w:rsidRDefault="00FB509C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DB11EC" w:rsidRPr="00254A72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Повідомлення про виявлені суттєві порушення членів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складається</w:t>
      </w:r>
      <w:r w:rsidR="00C22218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 довільній формі та повинно містити</w:t>
      </w:r>
      <w:r w:rsidR="00FE730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інформацію про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225C9" w:rsidRPr="00254A72" w:rsidRDefault="002225C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DB11EC" w:rsidRPr="00254A72" w:rsidRDefault="00DB11EC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</w:t>
      </w:r>
      <w:r w:rsidR="00637811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суттєве порушення, виявлене об’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єднаною кредитною спілкою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A50C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причини, які </w:t>
      </w:r>
      <w:r w:rsidR="00FE730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призвели до</w:t>
      </w:r>
      <w:r w:rsidR="00FE730A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вчиненн</w:t>
      </w:r>
      <w:r w:rsidR="00FE730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такого порушення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7830BF" w:rsidRPr="00254A72" w:rsidRDefault="007830BF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E16957" w:rsidRPr="00254A72" w:rsidRDefault="006F2BE3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637811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рекомендації, надані 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об’єднаною кредитною спілкою</w:t>
      </w:r>
      <w:r w:rsidR="007C08E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11EC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відповідному члену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наявності)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A50C6" w:rsidRPr="00254A72" w:rsidRDefault="00FA50C6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DB11EC" w:rsidRPr="00254A72" w:rsidRDefault="006F2BE3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3259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 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вжиті членом об’єднаної кредитної спілки </w:t>
      </w:r>
      <w:r w:rsidR="006C760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заходи щодо усунення порушення 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="006C7606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моменту 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направлення Національному банку відповідного повідомлення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F2BE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про виявлення суттєвого порушення</w:t>
      </w:r>
      <w:r w:rsidR="007830BF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B11EC" w:rsidRPr="00254A72" w:rsidRDefault="00DB11EC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0C32F0" w:rsidRPr="00883F38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215F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Об’єднана кредитна спілка направл</w:t>
      </w:r>
      <w:r w:rsidR="00E16957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яє</w:t>
      </w:r>
      <w:r w:rsidR="00215F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63BA4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Національному банку звіт </w:t>
      </w:r>
      <w:r w:rsidR="00215F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про дотримання членами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215F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додаткових вимог, встановлених об’єднаною кредитною спілкою</w:t>
      </w:r>
      <w:r w:rsidR="00461564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r w:rsidR="00461564" w:rsidRPr="00690E84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далі – звіт щодо вимог </w:t>
      </w:r>
      <w:r w:rsidR="00190E1E" w:rsidRPr="00690E84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об’єднаної </w:t>
      </w:r>
      <w:r w:rsidR="00190E1E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кредитної спілки</w:t>
      </w:r>
      <w:r w:rsidR="00461564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),</w:t>
      </w:r>
      <w:r w:rsidR="00215FA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C32F0" w:rsidRPr="00254A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 формою, наведеною в додатку до цього Положення, та в строки, визначені в пункті </w:t>
      </w:r>
      <w:r w:rsidR="00476E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42 </w:t>
      </w:r>
      <w:r w:rsidR="00883F38" w:rsidRPr="00D36A3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розділу І</w:t>
      </w:r>
      <w:r w:rsid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V</w:t>
      </w:r>
      <w:r w:rsidR="00883F3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C32F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цього Положення</w:t>
      </w:r>
      <w:r w:rsidR="003B0FBC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C32F0" w:rsidRPr="00883F38" w:rsidRDefault="000C32F0" w:rsidP="00557A9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215FA0" w:rsidRPr="00883F38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0C32F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Звіт </w:t>
      </w:r>
      <w:r w:rsidR="00690E8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щодо вимог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0C32F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повинен містити:</w:t>
      </w:r>
    </w:p>
    <w:p w:rsidR="002225C9" w:rsidRPr="00883F38" w:rsidRDefault="002225C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461564" w:rsidRPr="00883F38" w:rsidRDefault="00461564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</w:t>
      </w:r>
      <w:r w:rsidR="003259A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перелік додаткових вимог, встановлених для членів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5581E" w:rsidRPr="00883F38" w:rsidRDefault="00F5581E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5581E" w:rsidRPr="00883F38" w:rsidRDefault="003259A0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2) </w:t>
      </w:r>
      <w:r w:rsidR="008D18D5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найменування членів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F558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DC221B" w:rsidRPr="00883F38" w:rsidRDefault="00DC221B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461564" w:rsidRPr="00883F38" w:rsidRDefault="00F5581E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3259A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 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інформацію про дотримання членами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вимог, зазначених відповідно до підпункту 1 пункту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4</w:t>
      </w:r>
      <w:r w:rsidR="00694AA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76EE5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розділу </w:t>
      </w:r>
      <w:r w:rsidR="00476EE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IV</w:t>
      </w:r>
      <w:r w:rsidR="00476EE5"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цього Положення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DC221B" w:rsidRPr="00883F38" w:rsidRDefault="00DC221B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461564" w:rsidRPr="00883F38" w:rsidRDefault="00F5581E" w:rsidP="00557A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3259A0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) 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інформацію про рекомендації, </w:t>
      </w:r>
      <w:r w:rsidR="00CB0163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надані членам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які порушували встановлені об’єднаними кредитними спілками вимоги.</w:t>
      </w:r>
    </w:p>
    <w:p w:rsidR="00461564" w:rsidRPr="00883F38" w:rsidRDefault="00461564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2225C9" w:rsidRPr="00883F38" w:rsidRDefault="00E42405" w:rsidP="00557A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46156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Звіт </w:t>
      </w:r>
      <w:r w:rsidR="00190E1E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</w:t>
      </w:r>
      <w:r w:rsidR="00CB0163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направляється </w:t>
      </w:r>
      <w:r w:rsidR="00663BA4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Національному банку</w:t>
      </w:r>
      <w:r w:rsidR="00CB0163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225C9" w:rsidRPr="00690E84" w:rsidRDefault="002225C9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uk-UA"/>
        </w:rPr>
      </w:pPr>
    </w:p>
    <w:p w:rsidR="00DC221B" w:rsidRPr="00883F38" w:rsidRDefault="003259A0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1) </w:t>
      </w:r>
      <w:r w:rsidR="00DC221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 перше півріччя </w:t>
      </w:r>
      <w:r w:rsidR="00C222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−</w:t>
      </w:r>
      <w:r w:rsidR="00C22218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C221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="00331AB9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25 </w:t>
      </w:r>
      <w:r w:rsidR="00DC221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липня звітного року;</w:t>
      </w:r>
    </w:p>
    <w:p w:rsidR="00DC221B" w:rsidRPr="00690E84" w:rsidRDefault="00DC221B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uk-UA"/>
        </w:rPr>
      </w:pPr>
    </w:p>
    <w:p w:rsidR="00A15A28" w:rsidRDefault="003259A0" w:rsidP="00557A9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sectPr w:rsidR="00A15A28" w:rsidSect="00060921">
          <w:headerReference w:type="default" r:id="rId11"/>
          <w:pgSz w:w="11906" w:h="16838" w:code="9"/>
          <w:pgMar w:top="567" w:right="567" w:bottom="1701" w:left="1701" w:header="567" w:footer="567" w:gutter="0"/>
          <w:pgNumType w:start="1"/>
          <w:cols w:space="708"/>
          <w:titlePg/>
          <w:docGrid w:linePitch="360"/>
        </w:sect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2) </w:t>
      </w:r>
      <w:r w:rsidR="00DC221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за друге півріччя – до </w:t>
      </w:r>
      <w:r w:rsidR="00331AB9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25 </w:t>
      </w:r>
      <w:r w:rsidR="00DC221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січня року, наступного за звітним.</w:t>
      </w:r>
    </w:p>
    <w:p w:rsidR="00215FA0" w:rsidRPr="00883F38" w:rsidRDefault="00A4156F" w:rsidP="00A4156F">
      <w:pPr>
        <w:spacing w:after="0" w:line="240" w:lineRule="auto"/>
        <w:ind w:left="1" w:firstLine="142"/>
        <w:mirrorIndents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bookmarkStart w:id="8" w:name="n328"/>
      <w:bookmarkEnd w:id="8"/>
      <w:r w:rsidRPr="007C08ED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lastRenderedPageBreak/>
        <w:t xml:space="preserve">          </w:t>
      </w:r>
      <w:r w:rsidR="00A15A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B5758B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одаток</w:t>
      </w:r>
    </w:p>
    <w:p w:rsidR="00B5758B" w:rsidRDefault="00B5758B" w:rsidP="00A15A28">
      <w:pPr>
        <w:tabs>
          <w:tab w:val="left" w:pos="1134"/>
        </w:tabs>
        <w:spacing w:after="0" w:line="240" w:lineRule="auto"/>
        <w:ind w:left="4678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="00051DDD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Положення про </w:t>
      </w:r>
      <w:r w:rsidR="009C5D61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особливості </w:t>
      </w:r>
      <w:r w:rsidR="00051DDD"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діяльності об’єднаної кредитної спілки</w:t>
      </w:r>
    </w:p>
    <w:p w:rsidR="00476EE5" w:rsidRPr="00781607" w:rsidRDefault="00476EE5" w:rsidP="00862DF8">
      <w:pPr>
        <w:tabs>
          <w:tab w:val="left" w:pos="1134"/>
        </w:tabs>
        <w:spacing w:after="0" w:line="240" w:lineRule="auto"/>
        <w:ind w:left="4678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(пункт 40 розділу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uk-UA"/>
        </w:rPr>
        <w:t>IV</w:t>
      </w:r>
      <w:r w:rsidRPr="00781607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uk-UA"/>
        </w:rPr>
        <w:t>)</w:t>
      </w:r>
    </w:p>
    <w:p w:rsidR="00B5758B" w:rsidRPr="00883F38" w:rsidRDefault="00B5758B" w:rsidP="00FB509C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F05C80" w:rsidRDefault="00B5758B" w:rsidP="00756B3D">
      <w:pPr>
        <w:tabs>
          <w:tab w:val="left" w:pos="1134"/>
        </w:tabs>
        <w:spacing w:after="0" w:line="240" w:lineRule="auto"/>
        <w:ind w:left="567"/>
        <w:contextualSpacing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Звіт про дотримання членами </w:t>
      </w:r>
    </w:p>
    <w:p w:rsidR="00B5758B" w:rsidRPr="00883F38" w:rsidRDefault="00B5758B" w:rsidP="00756B3D">
      <w:pPr>
        <w:tabs>
          <w:tab w:val="left" w:pos="1134"/>
        </w:tabs>
        <w:spacing w:after="0" w:line="240" w:lineRule="auto"/>
        <w:ind w:left="567"/>
        <w:contextualSpacing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об’єднаної кредитної спілки додаткових вимог</w:t>
      </w:r>
    </w:p>
    <w:p w:rsidR="00051DDD" w:rsidRPr="00883F38" w:rsidRDefault="00051DDD" w:rsidP="00756B3D">
      <w:pPr>
        <w:tabs>
          <w:tab w:val="left" w:pos="1134"/>
        </w:tabs>
        <w:spacing w:after="0" w:line="240" w:lineRule="auto"/>
        <w:ind w:left="567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B5758B" w:rsidRPr="00883F38" w:rsidRDefault="00B5758B" w:rsidP="00756B3D">
      <w:pPr>
        <w:tabs>
          <w:tab w:val="left" w:pos="1134"/>
        </w:tabs>
        <w:spacing w:after="0" w:line="240" w:lineRule="auto"/>
        <w:ind w:left="567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Станом на _____________</w:t>
      </w:r>
    </w:p>
    <w:p w:rsidR="00051DDD" w:rsidRPr="00883F38" w:rsidRDefault="00051DDD" w:rsidP="00756B3D">
      <w:pPr>
        <w:tabs>
          <w:tab w:val="left" w:pos="1134"/>
        </w:tabs>
        <w:spacing w:after="0" w:line="240" w:lineRule="auto"/>
        <w:ind w:left="567"/>
        <w:contextualSpacing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B5758B" w:rsidRPr="00883F38" w:rsidRDefault="00B5758B" w:rsidP="00756B3D">
      <w:pPr>
        <w:tabs>
          <w:tab w:val="left" w:pos="1134"/>
        </w:tabs>
        <w:spacing w:after="0" w:line="240" w:lineRule="auto"/>
        <w:ind w:left="567"/>
        <w:contextualSpacing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883F3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Таблиця</w:t>
      </w:r>
    </w:p>
    <w:tbl>
      <w:tblPr>
        <w:tblW w:w="5173" w:type="pct"/>
        <w:tblInd w:w="-147" w:type="dxa"/>
        <w:tblLook w:val="04A0" w:firstRow="1" w:lastRow="0" w:firstColumn="1" w:lastColumn="0" w:noHBand="0" w:noVBand="1"/>
      </w:tblPr>
      <w:tblGrid>
        <w:gridCol w:w="695"/>
        <w:gridCol w:w="1784"/>
        <w:gridCol w:w="1456"/>
        <w:gridCol w:w="1520"/>
        <w:gridCol w:w="1488"/>
        <w:gridCol w:w="1521"/>
        <w:gridCol w:w="1497"/>
      </w:tblGrid>
      <w:tr w:rsidR="00F05C80" w:rsidRPr="00476EE5" w:rsidTr="00690E84">
        <w:trPr>
          <w:trHeight w:val="288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690E84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90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</w:t>
            </w:r>
            <w:proofErr w:type="spellEnd"/>
            <w:r w:rsidR="00F0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кредитної спілки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Вимога № 1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E5" w:rsidRPr="00781607" w:rsidRDefault="00476EE5" w:rsidP="0079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Вимога № 2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</w:t>
            </w:r>
            <w:r w:rsidR="00F0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дації</w:t>
            </w:r>
            <w:proofErr w:type="spellEnd"/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надані членам об’єднаної кредитної спілки (у разі </w:t>
            </w:r>
            <w:proofErr w:type="spellStart"/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порушен</w:t>
            </w:r>
            <w:proofErr w:type="spellEnd"/>
            <w:r w:rsidR="00F0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вимоги)</w:t>
            </w:r>
          </w:p>
        </w:tc>
      </w:tr>
      <w:tr w:rsidR="00F05C80" w:rsidRPr="00476EE5" w:rsidTr="00690E84">
        <w:trPr>
          <w:trHeight w:val="1248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F05C80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476EE5"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рийнят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476EE5"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значення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F05C80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</w:t>
            </w:r>
            <w:r w:rsidR="00476EE5"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актичне значення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F05C80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рийнятне </w:t>
            </w:r>
            <w:r w:rsidR="00476EE5"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значення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F05C80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</w:t>
            </w:r>
            <w:r w:rsidR="00476EE5"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актичне значення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05C80" w:rsidRPr="00476EE5" w:rsidTr="00690E84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8D2BA8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05C80" w:rsidRPr="00476EE5" w:rsidTr="00373CF5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E7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E5" w:rsidRPr="00781607" w:rsidRDefault="00476EE5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E5" w:rsidRPr="00781607" w:rsidRDefault="00476EE5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90E84" w:rsidRPr="00476EE5" w:rsidTr="00690E84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26" w:rsidRDefault="00F77026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26" w:rsidRDefault="00F7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26" w:rsidRPr="00781607" w:rsidRDefault="00F77026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26" w:rsidRPr="00781607" w:rsidRDefault="00F77026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26" w:rsidRPr="00781607" w:rsidRDefault="00F77026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026" w:rsidRPr="00781607" w:rsidRDefault="00F77026" w:rsidP="008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26" w:rsidRPr="00781607" w:rsidRDefault="00F77026" w:rsidP="0087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51DDD" w:rsidRPr="00883F38" w:rsidRDefault="00051DDD" w:rsidP="00756B3D">
      <w:pPr>
        <w:tabs>
          <w:tab w:val="left" w:pos="1134"/>
        </w:tabs>
        <w:spacing w:after="0" w:line="240" w:lineRule="auto"/>
        <w:ind w:left="567"/>
        <w:contextualSpacing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B5758B" w:rsidRDefault="00234696" w:rsidP="00234696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Пояснення </w:t>
      </w:r>
      <w:r w:rsidR="0073277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що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="00794E6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заповнення додатк</w:t>
      </w:r>
      <w:r w:rsidR="002B527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а</w:t>
      </w:r>
    </w:p>
    <w:p w:rsidR="00234696" w:rsidRPr="00690E84" w:rsidRDefault="00234696" w:rsidP="00234696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</w:p>
    <w:p w:rsidR="00234696" w:rsidRDefault="00234696" w:rsidP="00E751E0">
      <w:pPr>
        <w:pStyle w:val="af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794E65">
        <w:rPr>
          <w:rFonts w:ascii="Times New Roman" w:hAnsi="Times New Roman" w:cs="Times New Roman"/>
          <w:sz w:val="28"/>
        </w:rPr>
        <w:t xml:space="preserve">Об’єднана кредитна спілка заповнює </w:t>
      </w:r>
      <w:r w:rsidR="00885F1B">
        <w:rPr>
          <w:rFonts w:ascii="Times New Roman" w:hAnsi="Times New Roman" w:cs="Times New Roman"/>
          <w:sz w:val="28"/>
        </w:rPr>
        <w:t>в таблиці додатк</w:t>
      </w:r>
      <w:r w:rsidR="00942665">
        <w:rPr>
          <w:rFonts w:ascii="Times New Roman" w:hAnsi="Times New Roman" w:cs="Times New Roman"/>
          <w:sz w:val="28"/>
        </w:rPr>
        <w:t>а</w:t>
      </w:r>
      <w:r w:rsidR="00885F1B">
        <w:rPr>
          <w:rFonts w:ascii="Times New Roman" w:hAnsi="Times New Roman" w:cs="Times New Roman"/>
          <w:sz w:val="28"/>
        </w:rPr>
        <w:t xml:space="preserve"> інформацію </w:t>
      </w:r>
      <w:r w:rsidR="00794E65">
        <w:rPr>
          <w:rFonts w:ascii="Times New Roman" w:hAnsi="Times New Roman" w:cs="Times New Roman"/>
          <w:sz w:val="28"/>
        </w:rPr>
        <w:t>п</w:t>
      </w:r>
      <w:r w:rsidR="00942665">
        <w:rPr>
          <w:rFonts w:ascii="Times New Roman" w:hAnsi="Times New Roman" w:cs="Times New Roman"/>
          <w:sz w:val="28"/>
        </w:rPr>
        <w:t>р</w:t>
      </w:r>
      <w:r w:rsidR="00794E65">
        <w:rPr>
          <w:rFonts w:ascii="Times New Roman" w:hAnsi="Times New Roman" w:cs="Times New Roman"/>
          <w:sz w:val="28"/>
        </w:rPr>
        <w:t>о кожно</w:t>
      </w:r>
      <w:r w:rsidR="00942665">
        <w:rPr>
          <w:rFonts w:ascii="Times New Roman" w:hAnsi="Times New Roman" w:cs="Times New Roman"/>
          <w:sz w:val="28"/>
        </w:rPr>
        <w:t>го</w:t>
      </w:r>
      <w:r w:rsidR="00794E65">
        <w:rPr>
          <w:rFonts w:ascii="Times New Roman" w:hAnsi="Times New Roman" w:cs="Times New Roman"/>
          <w:sz w:val="28"/>
        </w:rPr>
        <w:t xml:space="preserve"> член</w:t>
      </w:r>
      <w:r w:rsidR="00942665">
        <w:rPr>
          <w:rFonts w:ascii="Times New Roman" w:hAnsi="Times New Roman" w:cs="Times New Roman"/>
          <w:sz w:val="28"/>
        </w:rPr>
        <w:t>а</w:t>
      </w:r>
      <w:r w:rsidR="00794E65">
        <w:rPr>
          <w:rFonts w:ascii="Times New Roman" w:hAnsi="Times New Roman" w:cs="Times New Roman"/>
          <w:sz w:val="28"/>
        </w:rPr>
        <w:t xml:space="preserve"> об’єднаної кредитної спілки </w:t>
      </w:r>
      <w:r w:rsidR="00885F1B">
        <w:rPr>
          <w:rFonts w:ascii="Times New Roman" w:hAnsi="Times New Roman" w:cs="Times New Roman"/>
          <w:sz w:val="28"/>
        </w:rPr>
        <w:t>щодо прийнятного</w:t>
      </w:r>
      <w:r w:rsidR="00794E65">
        <w:rPr>
          <w:rFonts w:ascii="Times New Roman" w:hAnsi="Times New Roman" w:cs="Times New Roman"/>
          <w:sz w:val="28"/>
        </w:rPr>
        <w:t xml:space="preserve"> </w:t>
      </w:r>
      <w:r w:rsidR="00885F1B">
        <w:rPr>
          <w:rFonts w:ascii="Times New Roman" w:hAnsi="Times New Roman" w:cs="Times New Roman"/>
          <w:sz w:val="28"/>
        </w:rPr>
        <w:t>та фактичного</w:t>
      </w:r>
      <w:r w:rsidR="00794E65">
        <w:rPr>
          <w:rFonts w:ascii="Times New Roman" w:hAnsi="Times New Roman" w:cs="Times New Roman"/>
          <w:sz w:val="28"/>
        </w:rPr>
        <w:t xml:space="preserve"> значення</w:t>
      </w:r>
      <w:r w:rsidR="003C6D35">
        <w:rPr>
          <w:rFonts w:ascii="Times New Roman" w:hAnsi="Times New Roman" w:cs="Times New Roman"/>
          <w:sz w:val="28"/>
        </w:rPr>
        <w:t xml:space="preserve"> </w:t>
      </w:r>
      <w:r w:rsidR="00885F1B">
        <w:rPr>
          <w:rFonts w:ascii="Times New Roman" w:hAnsi="Times New Roman" w:cs="Times New Roman"/>
          <w:sz w:val="28"/>
        </w:rPr>
        <w:t>для кожної вимоги</w:t>
      </w:r>
      <w:r w:rsidR="003C6D35">
        <w:rPr>
          <w:rFonts w:ascii="Times New Roman" w:hAnsi="Times New Roman" w:cs="Times New Roman"/>
          <w:sz w:val="28"/>
        </w:rPr>
        <w:t xml:space="preserve">, </w:t>
      </w:r>
      <w:r w:rsidR="00885F1B">
        <w:rPr>
          <w:rFonts w:ascii="Times New Roman" w:hAnsi="Times New Roman" w:cs="Times New Roman"/>
          <w:sz w:val="28"/>
        </w:rPr>
        <w:t>яка</w:t>
      </w:r>
      <w:r w:rsidR="003C6D35">
        <w:rPr>
          <w:rFonts w:ascii="Times New Roman" w:hAnsi="Times New Roman" w:cs="Times New Roman"/>
          <w:sz w:val="28"/>
        </w:rPr>
        <w:t xml:space="preserve"> </w:t>
      </w:r>
      <w:r w:rsidR="00885F1B">
        <w:rPr>
          <w:rFonts w:ascii="Times New Roman" w:hAnsi="Times New Roman" w:cs="Times New Roman"/>
          <w:sz w:val="28"/>
        </w:rPr>
        <w:t>встановлена</w:t>
      </w:r>
      <w:r w:rsidR="003C6D35">
        <w:rPr>
          <w:rFonts w:ascii="Times New Roman" w:hAnsi="Times New Roman" w:cs="Times New Roman"/>
          <w:sz w:val="28"/>
        </w:rPr>
        <w:t xml:space="preserve"> для членів об’єднаної кредитної спілки. </w:t>
      </w:r>
    </w:p>
    <w:p w:rsidR="00234696" w:rsidRDefault="00234696" w:rsidP="00E751E0">
      <w:pPr>
        <w:pStyle w:val="af3"/>
        <w:ind w:firstLine="567"/>
        <w:jc w:val="both"/>
        <w:rPr>
          <w:rFonts w:ascii="Times New Roman" w:hAnsi="Times New Roman" w:cs="Times New Roman"/>
          <w:sz w:val="28"/>
        </w:rPr>
      </w:pPr>
    </w:p>
    <w:p w:rsidR="00234696" w:rsidRDefault="00234696" w:rsidP="00E751E0">
      <w:pPr>
        <w:pStyle w:val="af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794E65" w:rsidRPr="00781607">
        <w:rPr>
          <w:rFonts w:ascii="Times New Roman" w:hAnsi="Times New Roman" w:cs="Times New Roman"/>
          <w:sz w:val="28"/>
        </w:rPr>
        <w:t>Об’єднана кредитна спілка доповнює таблицю нов</w:t>
      </w:r>
      <w:r w:rsidR="007C08ED">
        <w:rPr>
          <w:rFonts w:ascii="Times New Roman" w:hAnsi="Times New Roman" w:cs="Times New Roman"/>
          <w:sz w:val="28"/>
        </w:rPr>
        <w:t>ими колонками (після колонки 6)</w:t>
      </w:r>
      <w:r w:rsidR="00794E65" w:rsidRPr="00781607">
        <w:rPr>
          <w:rFonts w:ascii="Times New Roman" w:hAnsi="Times New Roman" w:cs="Times New Roman"/>
          <w:sz w:val="28"/>
        </w:rPr>
        <w:t xml:space="preserve"> залежно від кількості вимог, встановлених для </w:t>
      </w:r>
      <w:r w:rsidR="003C6D35">
        <w:rPr>
          <w:rFonts w:ascii="Times New Roman" w:hAnsi="Times New Roman" w:cs="Times New Roman"/>
          <w:sz w:val="28"/>
        </w:rPr>
        <w:t xml:space="preserve">членів </w:t>
      </w:r>
      <w:r w:rsidR="00794E65" w:rsidRPr="00781607">
        <w:rPr>
          <w:rFonts w:ascii="Times New Roman" w:hAnsi="Times New Roman" w:cs="Times New Roman"/>
          <w:sz w:val="28"/>
        </w:rPr>
        <w:t>об’єднаної кредитної спілки</w:t>
      </w:r>
      <w:r w:rsidR="003C6D35">
        <w:rPr>
          <w:rFonts w:ascii="Times New Roman" w:hAnsi="Times New Roman" w:cs="Times New Roman"/>
          <w:sz w:val="28"/>
        </w:rPr>
        <w:t xml:space="preserve">. </w:t>
      </w:r>
    </w:p>
    <w:p w:rsidR="00234696" w:rsidRDefault="00234696" w:rsidP="00E751E0">
      <w:pPr>
        <w:pStyle w:val="af3"/>
        <w:ind w:firstLine="567"/>
        <w:jc w:val="both"/>
        <w:rPr>
          <w:rFonts w:ascii="Times New Roman" w:hAnsi="Times New Roman" w:cs="Times New Roman"/>
          <w:sz w:val="28"/>
        </w:rPr>
      </w:pPr>
    </w:p>
    <w:p w:rsidR="003C6D35" w:rsidRDefault="00234696" w:rsidP="00E751E0">
      <w:pPr>
        <w:pStyle w:val="af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>3. </w:t>
      </w:r>
      <w:r w:rsidR="00407134">
        <w:rPr>
          <w:rFonts w:ascii="Times New Roman" w:hAnsi="Times New Roman" w:cs="Times New Roman"/>
          <w:sz w:val="28"/>
        </w:rPr>
        <w:t>У</w:t>
      </w:r>
      <w:r w:rsidR="00D51DE1">
        <w:rPr>
          <w:rFonts w:ascii="Times New Roman" w:hAnsi="Times New Roman" w:cs="Times New Roman"/>
          <w:sz w:val="28"/>
        </w:rPr>
        <w:t xml:space="preserve"> </w:t>
      </w:r>
      <w:r w:rsidR="003C6D35">
        <w:rPr>
          <w:rFonts w:ascii="Times New Roman" w:hAnsi="Times New Roman" w:cs="Times New Roman"/>
          <w:sz w:val="28"/>
        </w:rPr>
        <w:t xml:space="preserve">колонці </w:t>
      </w:r>
      <w:r w:rsidR="00D51DE1">
        <w:rPr>
          <w:rFonts w:ascii="Times New Roman" w:hAnsi="Times New Roman" w:cs="Times New Roman"/>
          <w:sz w:val="28"/>
        </w:rPr>
        <w:t xml:space="preserve">7 </w:t>
      </w:r>
      <w:r w:rsidR="003C6D35">
        <w:rPr>
          <w:rFonts w:ascii="Times New Roman" w:hAnsi="Times New Roman" w:cs="Times New Roman"/>
          <w:sz w:val="28"/>
        </w:rPr>
        <w:t>таблиці зазначаються рекомендації, які нада</w:t>
      </w:r>
      <w:r w:rsidR="00942665">
        <w:rPr>
          <w:rFonts w:ascii="Times New Roman" w:hAnsi="Times New Roman" w:cs="Times New Roman"/>
          <w:sz w:val="28"/>
        </w:rPr>
        <w:t>валися</w:t>
      </w:r>
      <w:r w:rsidR="003C6D35">
        <w:rPr>
          <w:rFonts w:ascii="Times New Roman" w:hAnsi="Times New Roman" w:cs="Times New Roman"/>
          <w:sz w:val="28"/>
        </w:rPr>
        <w:t xml:space="preserve"> членам об’єднаної </w:t>
      </w:r>
      <w:r w:rsidR="003C6D35" w:rsidRPr="00781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кредитної спілки (у разі порушення </w:t>
      </w:r>
      <w:r w:rsidR="00885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зазначених </w:t>
      </w:r>
      <w:r w:rsidR="003C6D35" w:rsidRPr="00781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вимог)</w:t>
      </w:r>
      <w:r w:rsidR="003C6D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34696" w:rsidRDefault="00234696" w:rsidP="00E751E0">
      <w:pPr>
        <w:pStyle w:val="af3"/>
        <w:ind w:firstLine="567"/>
        <w:jc w:val="both"/>
        <w:rPr>
          <w:rFonts w:ascii="Times New Roman" w:hAnsi="Times New Roman" w:cs="Times New Roman"/>
          <w:sz w:val="28"/>
        </w:rPr>
      </w:pPr>
    </w:p>
    <w:p w:rsidR="00DE5C4F" w:rsidRPr="00883F38" w:rsidRDefault="00234696" w:rsidP="00DD7D0D">
      <w:pPr>
        <w:pStyle w:val="af3"/>
        <w:ind w:firstLine="567"/>
        <w:jc w:val="both"/>
        <w:rPr>
          <w:lang w:eastAsia="uk-UA"/>
        </w:rPr>
      </w:pPr>
      <w:r>
        <w:rPr>
          <w:rFonts w:ascii="Times New Roman" w:hAnsi="Times New Roman" w:cs="Times New Roman"/>
          <w:sz w:val="28"/>
        </w:rPr>
        <w:t>4. </w:t>
      </w:r>
      <w:r w:rsidR="003C6D35">
        <w:rPr>
          <w:rFonts w:ascii="Times New Roman" w:hAnsi="Times New Roman" w:cs="Times New Roman"/>
          <w:sz w:val="28"/>
        </w:rPr>
        <w:t>Т</w:t>
      </w:r>
      <w:r w:rsidR="00E21B3E">
        <w:rPr>
          <w:rFonts w:ascii="Times New Roman" w:hAnsi="Times New Roman" w:cs="Times New Roman"/>
          <w:sz w:val="28"/>
        </w:rPr>
        <w:t>аблиця</w:t>
      </w:r>
      <w:r w:rsidR="00794E65" w:rsidRPr="00781607">
        <w:rPr>
          <w:rFonts w:ascii="Times New Roman" w:hAnsi="Times New Roman" w:cs="Times New Roman"/>
          <w:sz w:val="28"/>
        </w:rPr>
        <w:t xml:space="preserve"> </w:t>
      </w:r>
      <w:r w:rsidR="00942665">
        <w:rPr>
          <w:rFonts w:ascii="Times New Roman" w:hAnsi="Times New Roman" w:cs="Times New Roman"/>
          <w:sz w:val="28"/>
        </w:rPr>
        <w:t xml:space="preserve">за потреби </w:t>
      </w:r>
      <w:r w:rsidR="00794E65" w:rsidRPr="00781607">
        <w:rPr>
          <w:rFonts w:ascii="Times New Roman" w:hAnsi="Times New Roman" w:cs="Times New Roman"/>
          <w:sz w:val="28"/>
        </w:rPr>
        <w:t>доповнює</w:t>
      </w:r>
      <w:r w:rsidR="003C6D35">
        <w:rPr>
          <w:rFonts w:ascii="Times New Roman" w:hAnsi="Times New Roman" w:cs="Times New Roman"/>
          <w:sz w:val="28"/>
        </w:rPr>
        <w:t>ться</w:t>
      </w:r>
      <w:r w:rsidR="007C08ED">
        <w:rPr>
          <w:rFonts w:ascii="Times New Roman" w:hAnsi="Times New Roman" w:cs="Times New Roman"/>
          <w:sz w:val="28"/>
        </w:rPr>
        <w:t xml:space="preserve"> новими рядками </w:t>
      </w:r>
      <w:r w:rsidR="003C6D35">
        <w:rPr>
          <w:rFonts w:ascii="Times New Roman" w:hAnsi="Times New Roman" w:cs="Times New Roman"/>
          <w:sz w:val="28"/>
        </w:rPr>
        <w:t xml:space="preserve">залежно від </w:t>
      </w:r>
      <w:r w:rsidR="00794E65" w:rsidRPr="00781607">
        <w:rPr>
          <w:rFonts w:ascii="Times New Roman" w:hAnsi="Times New Roman" w:cs="Times New Roman"/>
          <w:sz w:val="28"/>
        </w:rPr>
        <w:t>кі</w:t>
      </w:r>
      <w:r w:rsidR="00885F1B">
        <w:rPr>
          <w:rFonts w:ascii="Times New Roman" w:hAnsi="Times New Roman" w:cs="Times New Roman"/>
          <w:sz w:val="28"/>
        </w:rPr>
        <w:t xml:space="preserve">лькості </w:t>
      </w:r>
      <w:r w:rsidR="00794E65" w:rsidRPr="00781607">
        <w:rPr>
          <w:rFonts w:ascii="Times New Roman" w:hAnsi="Times New Roman" w:cs="Times New Roman"/>
          <w:sz w:val="28"/>
        </w:rPr>
        <w:t>членів об’єднаної кредитної спілки</w:t>
      </w:r>
      <w:r w:rsidR="00885F1B">
        <w:rPr>
          <w:rFonts w:ascii="Times New Roman" w:hAnsi="Times New Roman" w:cs="Times New Roman"/>
          <w:sz w:val="28"/>
        </w:rPr>
        <w:t>.</w:t>
      </w:r>
    </w:p>
    <w:sectPr w:rsidR="00DE5C4F" w:rsidRPr="00883F38" w:rsidSect="00690E84">
      <w:pgSz w:w="11906" w:h="16838" w:code="9"/>
      <w:pgMar w:top="567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E" w:rsidRDefault="001974EE">
      <w:pPr>
        <w:spacing w:after="0" w:line="240" w:lineRule="auto"/>
      </w:pPr>
      <w:r>
        <w:separator/>
      </w:r>
    </w:p>
  </w:endnote>
  <w:endnote w:type="continuationSeparator" w:id="0">
    <w:p w:rsidR="001974EE" w:rsidRDefault="001974EE">
      <w:pPr>
        <w:spacing w:after="0" w:line="240" w:lineRule="auto"/>
      </w:pPr>
      <w:r>
        <w:continuationSeparator/>
      </w:r>
    </w:p>
  </w:endnote>
  <w:endnote w:type="continuationNotice" w:id="1">
    <w:p w:rsidR="001974EE" w:rsidRDefault="00197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E" w:rsidRDefault="001974EE">
      <w:pPr>
        <w:spacing w:after="0" w:line="240" w:lineRule="auto"/>
      </w:pPr>
    </w:p>
  </w:footnote>
  <w:footnote w:type="continuationSeparator" w:id="0">
    <w:p w:rsidR="001974EE" w:rsidRDefault="001974EE">
      <w:pPr>
        <w:spacing w:after="0" w:line="240" w:lineRule="auto"/>
      </w:pPr>
      <w:r>
        <w:continuationSeparator/>
      </w:r>
    </w:p>
  </w:footnote>
  <w:footnote w:type="continuationNotice" w:id="1">
    <w:p w:rsidR="001974EE" w:rsidRDefault="00197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7B" w:rsidRDefault="00D030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0307B" w:rsidRDefault="00D0307B">
    <w:pPr>
      <w:pStyle w:val="a4"/>
    </w:pPr>
  </w:p>
  <w:p w:rsidR="00D0307B" w:rsidRDefault="00D0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12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307B" w:rsidRDefault="00D0307B" w:rsidP="00D202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0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C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0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0307B" w:rsidRPr="00B57015" w:rsidRDefault="001974EE" w:rsidP="00D202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C8D"/>
    <w:multiLevelType w:val="hybridMultilevel"/>
    <w:tmpl w:val="9CB8AD62"/>
    <w:lvl w:ilvl="0" w:tplc="A7CAA29C">
      <w:start w:val="1"/>
      <w:numFmt w:val="decimal"/>
      <w:lvlText w:val="%1."/>
      <w:lvlJc w:val="left"/>
      <w:pPr>
        <w:ind w:left="3621" w:hanging="360"/>
      </w:pPr>
      <w:rPr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0547"/>
    <w:multiLevelType w:val="hybridMultilevel"/>
    <w:tmpl w:val="0A4682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CA2CB6"/>
    <w:multiLevelType w:val="hybridMultilevel"/>
    <w:tmpl w:val="09242F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7540EF"/>
    <w:multiLevelType w:val="hybridMultilevel"/>
    <w:tmpl w:val="E872E41E"/>
    <w:lvl w:ilvl="0" w:tplc="99CCB7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512FC7"/>
    <w:multiLevelType w:val="hybridMultilevel"/>
    <w:tmpl w:val="510812D6"/>
    <w:lvl w:ilvl="0" w:tplc="A148D90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CF7174"/>
    <w:multiLevelType w:val="hybridMultilevel"/>
    <w:tmpl w:val="9CB8AD62"/>
    <w:lvl w:ilvl="0" w:tplc="A7CAA29C">
      <w:start w:val="1"/>
      <w:numFmt w:val="decimal"/>
      <w:lvlText w:val="%1."/>
      <w:lvlJc w:val="left"/>
      <w:pPr>
        <w:ind w:left="3621" w:hanging="360"/>
      </w:pPr>
      <w:rPr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0FC8"/>
    <w:multiLevelType w:val="hybridMultilevel"/>
    <w:tmpl w:val="56F6AB2E"/>
    <w:lvl w:ilvl="0" w:tplc="28186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5AFF"/>
    <w:multiLevelType w:val="hybridMultilevel"/>
    <w:tmpl w:val="E1CE369E"/>
    <w:lvl w:ilvl="0" w:tplc="62C6D4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66EF"/>
    <w:multiLevelType w:val="hybridMultilevel"/>
    <w:tmpl w:val="933277E4"/>
    <w:lvl w:ilvl="0" w:tplc="FE9C4F8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1"/>
    <w:rsid w:val="000003B2"/>
    <w:rsid w:val="00014120"/>
    <w:rsid w:val="000171C6"/>
    <w:rsid w:val="000233D5"/>
    <w:rsid w:val="00025DC0"/>
    <w:rsid w:val="00032392"/>
    <w:rsid w:val="000343AE"/>
    <w:rsid w:val="00036A5A"/>
    <w:rsid w:val="00036B22"/>
    <w:rsid w:val="00040A5F"/>
    <w:rsid w:val="000426F0"/>
    <w:rsid w:val="000435AC"/>
    <w:rsid w:val="00046E54"/>
    <w:rsid w:val="0004730A"/>
    <w:rsid w:val="00050C03"/>
    <w:rsid w:val="00051DDD"/>
    <w:rsid w:val="00054A48"/>
    <w:rsid w:val="00060921"/>
    <w:rsid w:val="00060F50"/>
    <w:rsid w:val="0006168A"/>
    <w:rsid w:val="00063F71"/>
    <w:rsid w:val="00065EB9"/>
    <w:rsid w:val="00070E9A"/>
    <w:rsid w:val="000733DA"/>
    <w:rsid w:val="000734C0"/>
    <w:rsid w:val="00073820"/>
    <w:rsid w:val="0008129D"/>
    <w:rsid w:val="0008237C"/>
    <w:rsid w:val="00087B9C"/>
    <w:rsid w:val="00090385"/>
    <w:rsid w:val="000923CF"/>
    <w:rsid w:val="00094945"/>
    <w:rsid w:val="000951A6"/>
    <w:rsid w:val="0009704F"/>
    <w:rsid w:val="000A5B2D"/>
    <w:rsid w:val="000A6AB6"/>
    <w:rsid w:val="000A761B"/>
    <w:rsid w:val="000B028C"/>
    <w:rsid w:val="000B153D"/>
    <w:rsid w:val="000B6996"/>
    <w:rsid w:val="000C32F0"/>
    <w:rsid w:val="000C3500"/>
    <w:rsid w:val="000C7231"/>
    <w:rsid w:val="000D08DF"/>
    <w:rsid w:val="000D2B92"/>
    <w:rsid w:val="000D4744"/>
    <w:rsid w:val="000D6309"/>
    <w:rsid w:val="000E0DD4"/>
    <w:rsid w:val="000E3081"/>
    <w:rsid w:val="000E34DF"/>
    <w:rsid w:val="000E3915"/>
    <w:rsid w:val="000F1FCF"/>
    <w:rsid w:val="00100D43"/>
    <w:rsid w:val="001040E5"/>
    <w:rsid w:val="001078F8"/>
    <w:rsid w:val="001105FA"/>
    <w:rsid w:val="00111C2D"/>
    <w:rsid w:val="001125DB"/>
    <w:rsid w:val="00116BEB"/>
    <w:rsid w:val="00116C2D"/>
    <w:rsid w:val="0011794E"/>
    <w:rsid w:val="001250BB"/>
    <w:rsid w:val="001266D7"/>
    <w:rsid w:val="00130758"/>
    <w:rsid w:val="00130A86"/>
    <w:rsid w:val="001404F7"/>
    <w:rsid w:val="001415B1"/>
    <w:rsid w:val="00146ED6"/>
    <w:rsid w:val="00151598"/>
    <w:rsid w:val="001520FE"/>
    <w:rsid w:val="001521DD"/>
    <w:rsid w:val="00155F3A"/>
    <w:rsid w:val="00156D66"/>
    <w:rsid w:val="00161002"/>
    <w:rsid w:val="00161599"/>
    <w:rsid w:val="00162A1B"/>
    <w:rsid w:val="00165043"/>
    <w:rsid w:val="00166A06"/>
    <w:rsid w:val="00166DB8"/>
    <w:rsid w:val="00173212"/>
    <w:rsid w:val="00174088"/>
    <w:rsid w:val="00175670"/>
    <w:rsid w:val="001772D8"/>
    <w:rsid w:val="0017750D"/>
    <w:rsid w:val="00182DA6"/>
    <w:rsid w:val="00184776"/>
    <w:rsid w:val="001850FB"/>
    <w:rsid w:val="00187235"/>
    <w:rsid w:val="0018740E"/>
    <w:rsid w:val="00190737"/>
    <w:rsid w:val="00190E1E"/>
    <w:rsid w:val="001922A1"/>
    <w:rsid w:val="00192D62"/>
    <w:rsid w:val="0019329D"/>
    <w:rsid w:val="00194774"/>
    <w:rsid w:val="00197252"/>
    <w:rsid w:val="001974DA"/>
    <w:rsid w:val="001974EE"/>
    <w:rsid w:val="00197B0C"/>
    <w:rsid w:val="001A4012"/>
    <w:rsid w:val="001A4971"/>
    <w:rsid w:val="001A618E"/>
    <w:rsid w:val="001A6661"/>
    <w:rsid w:val="001A755E"/>
    <w:rsid w:val="001B240D"/>
    <w:rsid w:val="001B2630"/>
    <w:rsid w:val="001B34F2"/>
    <w:rsid w:val="001B3B7B"/>
    <w:rsid w:val="001B3B96"/>
    <w:rsid w:val="001B6D7B"/>
    <w:rsid w:val="001C2C06"/>
    <w:rsid w:val="001C3CBD"/>
    <w:rsid w:val="001C4625"/>
    <w:rsid w:val="001C4D1E"/>
    <w:rsid w:val="001C4E5F"/>
    <w:rsid w:val="001D6EED"/>
    <w:rsid w:val="001E05DF"/>
    <w:rsid w:val="001E19C4"/>
    <w:rsid w:val="001E3514"/>
    <w:rsid w:val="001E3DF1"/>
    <w:rsid w:val="001F05DB"/>
    <w:rsid w:val="001F23B3"/>
    <w:rsid w:val="00204B5E"/>
    <w:rsid w:val="0020602C"/>
    <w:rsid w:val="002125BA"/>
    <w:rsid w:val="00213FAE"/>
    <w:rsid w:val="002146A0"/>
    <w:rsid w:val="00215FA0"/>
    <w:rsid w:val="0022211E"/>
    <w:rsid w:val="002225C9"/>
    <w:rsid w:val="002243B9"/>
    <w:rsid w:val="00224896"/>
    <w:rsid w:val="00234696"/>
    <w:rsid w:val="00237A17"/>
    <w:rsid w:val="00241D0C"/>
    <w:rsid w:val="00245AFE"/>
    <w:rsid w:val="002460F2"/>
    <w:rsid w:val="00254A72"/>
    <w:rsid w:val="002565B9"/>
    <w:rsid w:val="00256637"/>
    <w:rsid w:val="00260C31"/>
    <w:rsid w:val="00264FB8"/>
    <w:rsid w:val="002713C5"/>
    <w:rsid w:val="00273F32"/>
    <w:rsid w:val="00277BAA"/>
    <w:rsid w:val="002861C7"/>
    <w:rsid w:val="00290BE1"/>
    <w:rsid w:val="00294065"/>
    <w:rsid w:val="00294289"/>
    <w:rsid w:val="0029560B"/>
    <w:rsid w:val="00295B91"/>
    <w:rsid w:val="002A189D"/>
    <w:rsid w:val="002B379B"/>
    <w:rsid w:val="002B4925"/>
    <w:rsid w:val="002B4B75"/>
    <w:rsid w:val="002B527A"/>
    <w:rsid w:val="002B5D7A"/>
    <w:rsid w:val="002B78CD"/>
    <w:rsid w:val="002C23BF"/>
    <w:rsid w:val="002C3210"/>
    <w:rsid w:val="002C3737"/>
    <w:rsid w:val="002C438B"/>
    <w:rsid w:val="002C556E"/>
    <w:rsid w:val="002D23C6"/>
    <w:rsid w:val="002E0016"/>
    <w:rsid w:val="002E3B26"/>
    <w:rsid w:val="002E55F8"/>
    <w:rsid w:val="002E5C6B"/>
    <w:rsid w:val="002E5C77"/>
    <w:rsid w:val="002E5CC2"/>
    <w:rsid w:val="002E6B6A"/>
    <w:rsid w:val="002F3076"/>
    <w:rsid w:val="002F4648"/>
    <w:rsid w:val="002F4C1A"/>
    <w:rsid w:val="002F5AC9"/>
    <w:rsid w:val="002F61C3"/>
    <w:rsid w:val="002F66A9"/>
    <w:rsid w:val="003030D4"/>
    <w:rsid w:val="0031113A"/>
    <w:rsid w:val="00314F3A"/>
    <w:rsid w:val="00316CDC"/>
    <w:rsid w:val="00316F4B"/>
    <w:rsid w:val="00316FA9"/>
    <w:rsid w:val="00320F8C"/>
    <w:rsid w:val="003259A0"/>
    <w:rsid w:val="00330B52"/>
    <w:rsid w:val="00331132"/>
    <w:rsid w:val="00331AB9"/>
    <w:rsid w:val="00334E33"/>
    <w:rsid w:val="0034339C"/>
    <w:rsid w:val="003441B3"/>
    <w:rsid w:val="00347661"/>
    <w:rsid w:val="00347A11"/>
    <w:rsid w:val="0035023C"/>
    <w:rsid w:val="00350F2B"/>
    <w:rsid w:val="003531B3"/>
    <w:rsid w:val="0035710C"/>
    <w:rsid w:val="003579F6"/>
    <w:rsid w:val="00360882"/>
    <w:rsid w:val="0036463E"/>
    <w:rsid w:val="00365CCA"/>
    <w:rsid w:val="003664ED"/>
    <w:rsid w:val="00366D2F"/>
    <w:rsid w:val="0036786C"/>
    <w:rsid w:val="0037035E"/>
    <w:rsid w:val="003720E4"/>
    <w:rsid w:val="0037260B"/>
    <w:rsid w:val="00373CF5"/>
    <w:rsid w:val="00374FC8"/>
    <w:rsid w:val="00380728"/>
    <w:rsid w:val="00381B48"/>
    <w:rsid w:val="00383491"/>
    <w:rsid w:val="00385ECF"/>
    <w:rsid w:val="00386646"/>
    <w:rsid w:val="0039034F"/>
    <w:rsid w:val="00391BA4"/>
    <w:rsid w:val="003963D5"/>
    <w:rsid w:val="00396FBB"/>
    <w:rsid w:val="003A0BA5"/>
    <w:rsid w:val="003A4CEF"/>
    <w:rsid w:val="003B0FBC"/>
    <w:rsid w:val="003B2B72"/>
    <w:rsid w:val="003C10E5"/>
    <w:rsid w:val="003C1B0F"/>
    <w:rsid w:val="003C5112"/>
    <w:rsid w:val="003C5567"/>
    <w:rsid w:val="003C6D35"/>
    <w:rsid w:val="003D2374"/>
    <w:rsid w:val="003D48A9"/>
    <w:rsid w:val="003D6BC5"/>
    <w:rsid w:val="003E1742"/>
    <w:rsid w:val="003E1C35"/>
    <w:rsid w:val="003E2F8E"/>
    <w:rsid w:val="003E42EF"/>
    <w:rsid w:val="003E49D6"/>
    <w:rsid w:val="003E6E67"/>
    <w:rsid w:val="003F1CB9"/>
    <w:rsid w:val="003F63CA"/>
    <w:rsid w:val="003F6B59"/>
    <w:rsid w:val="0040134D"/>
    <w:rsid w:val="0040246F"/>
    <w:rsid w:val="00402BF3"/>
    <w:rsid w:val="004055CC"/>
    <w:rsid w:val="00407134"/>
    <w:rsid w:val="00410721"/>
    <w:rsid w:val="00413443"/>
    <w:rsid w:val="00420FEC"/>
    <w:rsid w:val="0043183E"/>
    <w:rsid w:val="00431EA7"/>
    <w:rsid w:val="004357FD"/>
    <w:rsid w:val="004405DA"/>
    <w:rsid w:val="00440D1F"/>
    <w:rsid w:val="00440E1C"/>
    <w:rsid w:val="00441824"/>
    <w:rsid w:val="00442690"/>
    <w:rsid w:val="0044544D"/>
    <w:rsid w:val="004476CD"/>
    <w:rsid w:val="00451546"/>
    <w:rsid w:val="004541CA"/>
    <w:rsid w:val="0045649C"/>
    <w:rsid w:val="00461564"/>
    <w:rsid w:val="00461671"/>
    <w:rsid w:val="00463069"/>
    <w:rsid w:val="00463AE1"/>
    <w:rsid w:val="00476EE5"/>
    <w:rsid w:val="00482F5C"/>
    <w:rsid w:val="004846F2"/>
    <w:rsid w:val="004847C0"/>
    <w:rsid w:val="00484D86"/>
    <w:rsid w:val="00487E03"/>
    <w:rsid w:val="0049253D"/>
    <w:rsid w:val="0049260D"/>
    <w:rsid w:val="004A0084"/>
    <w:rsid w:val="004A1FBC"/>
    <w:rsid w:val="004A6B11"/>
    <w:rsid w:val="004B4057"/>
    <w:rsid w:val="004B4ACF"/>
    <w:rsid w:val="004C0175"/>
    <w:rsid w:val="004C2203"/>
    <w:rsid w:val="004C3300"/>
    <w:rsid w:val="004D0C08"/>
    <w:rsid w:val="004D5E10"/>
    <w:rsid w:val="004E5364"/>
    <w:rsid w:val="004F2FCA"/>
    <w:rsid w:val="004F461F"/>
    <w:rsid w:val="004F6CD0"/>
    <w:rsid w:val="00500348"/>
    <w:rsid w:val="00502790"/>
    <w:rsid w:val="00503220"/>
    <w:rsid w:val="005042B5"/>
    <w:rsid w:val="0050629C"/>
    <w:rsid w:val="0050663C"/>
    <w:rsid w:val="00511F51"/>
    <w:rsid w:val="00512E9E"/>
    <w:rsid w:val="00515335"/>
    <w:rsid w:val="005165B5"/>
    <w:rsid w:val="00516C41"/>
    <w:rsid w:val="00520B8C"/>
    <w:rsid w:val="00527522"/>
    <w:rsid w:val="0053009F"/>
    <w:rsid w:val="00531558"/>
    <w:rsid w:val="005402E5"/>
    <w:rsid w:val="00542339"/>
    <w:rsid w:val="00552941"/>
    <w:rsid w:val="00553C66"/>
    <w:rsid w:val="0055746C"/>
    <w:rsid w:val="00557A91"/>
    <w:rsid w:val="00563489"/>
    <w:rsid w:val="00570765"/>
    <w:rsid w:val="00571851"/>
    <w:rsid w:val="00573E46"/>
    <w:rsid w:val="005745DC"/>
    <w:rsid w:val="00580935"/>
    <w:rsid w:val="00581605"/>
    <w:rsid w:val="005867B5"/>
    <w:rsid w:val="005943B6"/>
    <w:rsid w:val="005960A8"/>
    <w:rsid w:val="0059684F"/>
    <w:rsid w:val="005A09F4"/>
    <w:rsid w:val="005A337B"/>
    <w:rsid w:val="005B4A70"/>
    <w:rsid w:val="005B61B7"/>
    <w:rsid w:val="005B6EFF"/>
    <w:rsid w:val="005C66E3"/>
    <w:rsid w:val="005D21EA"/>
    <w:rsid w:val="005D2950"/>
    <w:rsid w:val="005D7BA1"/>
    <w:rsid w:val="005E419F"/>
    <w:rsid w:val="005E442C"/>
    <w:rsid w:val="005F24D9"/>
    <w:rsid w:val="005F317C"/>
    <w:rsid w:val="005F326B"/>
    <w:rsid w:val="005F4799"/>
    <w:rsid w:val="005F7E3A"/>
    <w:rsid w:val="00601C9E"/>
    <w:rsid w:val="00603C23"/>
    <w:rsid w:val="0060749E"/>
    <w:rsid w:val="006159DC"/>
    <w:rsid w:val="006264D8"/>
    <w:rsid w:val="006300E6"/>
    <w:rsid w:val="00630E5E"/>
    <w:rsid w:val="0063158B"/>
    <w:rsid w:val="0063173A"/>
    <w:rsid w:val="00636FCC"/>
    <w:rsid w:val="00637549"/>
    <w:rsid w:val="00637811"/>
    <w:rsid w:val="00641998"/>
    <w:rsid w:val="00642595"/>
    <w:rsid w:val="006426EA"/>
    <w:rsid w:val="00645426"/>
    <w:rsid w:val="006467B8"/>
    <w:rsid w:val="00646A6E"/>
    <w:rsid w:val="00646FB0"/>
    <w:rsid w:val="00655992"/>
    <w:rsid w:val="00655C12"/>
    <w:rsid w:val="00655EC5"/>
    <w:rsid w:val="006618BD"/>
    <w:rsid w:val="00663A52"/>
    <w:rsid w:val="00663BA4"/>
    <w:rsid w:val="006642FE"/>
    <w:rsid w:val="00665125"/>
    <w:rsid w:val="006655F2"/>
    <w:rsid w:val="006670B3"/>
    <w:rsid w:val="00667333"/>
    <w:rsid w:val="00670312"/>
    <w:rsid w:val="00670322"/>
    <w:rsid w:val="0067085E"/>
    <w:rsid w:val="006743FD"/>
    <w:rsid w:val="00676345"/>
    <w:rsid w:val="00677D28"/>
    <w:rsid w:val="00677D5D"/>
    <w:rsid w:val="0068386A"/>
    <w:rsid w:val="00684F51"/>
    <w:rsid w:val="0069005B"/>
    <w:rsid w:val="00690E84"/>
    <w:rsid w:val="00694AA7"/>
    <w:rsid w:val="006A2C56"/>
    <w:rsid w:val="006A318B"/>
    <w:rsid w:val="006A4EB1"/>
    <w:rsid w:val="006A77BA"/>
    <w:rsid w:val="006A7F33"/>
    <w:rsid w:val="006B1888"/>
    <w:rsid w:val="006B75D1"/>
    <w:rsid w:val="006B7DA6"/>
    <w:rsid w:val="006C0E71"/>
    <w:rsid w:val="006C7606"/>
    <w:rsid w:val="006F2BE3"/>
    <w:rsid w:val="006F3866"/>
    <w:rsid w:val="006F6D05"/>
    <w:rsid w:val="00701E2F"/>
    <w:rsid w:val="00702A9D"/>
    <w:rsid w:val="00704DF5"/>
    <w:rsid w:val="00711CCD"/>
    <w:rsid w:val="0071259F"/>
    <w:rsid w:val="00713E59"/>
    <w:rsid w:val="00714EE5"/>
    <w:rsid w:val="00731E56"/>
    <w:rsid w:val="00732775"/>
    <w:rsid w:val="00733DE7"/>
    <w:rsid w:val="00735D53"/>
    <w:rsid w:val="00737555"/>
    <w:rsid w:val="00743D1B"/>
    <w:rsid w:val="00744C10"/>
    <w:rsid w:val="00744EB2"/>
    <w:rsid w:val="00745F47"/>
    <w:rsid w:val="00746F83"/>
    <w:rsid w:val="007476D8"/>
    <w:rsid w:val="007479CB"/>
    <w:rsid w:val="007528BC"/>
    <w:rsid w:val="00753B32"/>
    <w:rsid w:val="00753E7D"/>
    <w:rsid w:val="00756B3D"/>
    <w:rsid w:val="007574AC"/>
    <w:rsid w:val="0075779C"/>
    <w:rsid w:val="00761794"/>
    <w:rsid w:val="00765416"/>
    <w:rsid w:val="0076639E"/>
    <w:rsid w:val="007671B8"/>
    <w:rsid w:val="007722D9"/>
    <w:rsid w:val="00774D27"/>
    <w:rsid w:val="00781607"/>
    <w:rsid w:val="007830BF"/>
    <w:rsid w:val="00783F87"/>
    <w:rsid w:val="00785712"/>
    <w:rsid w:val="00787478"/>
    <w:rsid w:val="00790FBB"/>
    <w:rsid w:val="00794552"/>
    <w:rsid w:val="00794E65"/>
    <w:rsid w:val="007962BB"/>
    <w:rsid w:val="007973C0"/>
    <w:rsid w:val="007A22A2"/>
    <w:rsid w:val="007A4F90"/>
    <w:rsid w:val="007A5EA0"/>
    <w:rsid w:val="007A72C9"/>
    <w:rsid w:val="007B20D6"/>
    <w:rsid w:val="007B4116"/>
    <w:rsid w:val="007C0521"/>
    <w:rsid w:val="007C08ED"/>
    <w:rsid w:val="007C0AF4"/>
    <w:rsid w:val="007C134D"/>
    <w:rsid w:val="007D04CD"/>
    <w:rsid w:val="007E0D29"/>
    <w:rsid w:val="007E0FEE"/>
    <w:rsid w:val="007E1AE4"/>
    <w:rsid w:val="007E214D"/>
    <w:rsid w:val="007E7922"/>
    <w:rsid w:val="007E793F"/>
    <w:rsid w:val="007E7F66"/>
    <w:rsid w:val="007F2654"/>
    <w:rsid w:val="00801FAF"/>
    <w:rsid w:val="00802D85"/>
    <w:rsid w:val="00811E84"/>
    <w:rsid w:val="008131C1"/>
    <w:rsid w:val="00813DD0"/>
    <w:rsid w:val="00820255"/>
    <w:rsid w:val="00830ACB"/>
    <w:rsid w:val="008369B6"/>
    <w:rsid w:val="00841D44"/>
    <w:rsid w:val="00841E16"/>
    <w:rsid w:val="008449A3"/>
    <w:rsid w:val="00846BD8"/>
    <w:rsid w:val="00847300"/>
    <w:rsid w:val="00854194"/>
    <w:rsid w:val="0085582B"/>
    <w:rsid w:val="00855F1D"/>
    <w:rsid w:val="00857C1E"/>
    <w:rsid w:val="008615C7"/>
    <w:rsid w:val="00862DF8"/>
    <w:rsid w:val="00863AFC"/>
    <w:rsid w:val="00864812"/>
    <w:rsid w:val="0087256C"/>
    <w:rsid w:val="00873978"/>
    <w:rsid w:val="0087430E"/>
    <w:rsid w:val="00874359"/>
    <w:rsid w:val="00880877"/>
    <w:rsid w:val="00883F38"/>
    <w:rsid w:val="00885F1B"/>
    <w:rsid w:val="00890236"/>
    <w:rsid w:val="008A262A"/>
    <w:rsid w:val="008A3C9E"/>
    <w:rsid w:val="008A708D"/>
    <w:rsid w:val="008B1F3E"/>
    <w:rsid w:val="008B2E48"/>
    <w:rsid w:val="008B4C01"/>
    <w:rsid w:val="008B5280"/>
    <w:rsid w:val="008B5D4C"/>
    <w:rsid w:val="008B62BD"/>
    <w:rsid w:val="008D131A"/>
    <w:rsid w:val="008D18D5"/>
    <w:rsid w:val="008D2BA8"/>
    <w:rsid w:val="008D6DBC"/>
    <w:rsid w:val="008D6F8A"/>
    <w:rsid w:val="008E2ADA"/>
    <w:rsid w:val="008E5B3C"/>
    <w:rsid w:val="008F1383"/>
    <w:rsid w:val="008F1FD2"/>
    <w:rsid w:val="008F7542"/>
    <w:rsid w:val="008F762C"/>
    <w:rsid w:val="008F7691"/>
    <w:rsid w:val="008F7730"/>
    <w:rsid w:val="00900425"/>
    <w:rsid w:val="00900FAF"/>
    <w:rsid w:val="00906CE3"/>
    <w:rsid w:val="009076FF"/>
    <w:rsid w:val="00912D56"/>
    <w:rsid w:val="00922D92"/>
    <w:rsid w:val="00924727"/>
    <w:rsid w:val="009342CC"/>
    <w:rsid w:val="009353C5"/>
    <w:rsid w:val="00935A2A"/>
    <w:rsid w:val="00941071"/>
    <w:rsid w:val="00942665"/>
    <w:rsid w:val="0094331A"/>
    <w:rsid w:val="009453EF"/>
    <w:rsid w:val="00950333"/>
    <w:rsid w:val="009527A0"/>
    <w:rsid w:val="00953E6C"/>
    <w:rsid w:val="00953EF4"/>
    <w:rsid w:val="0095457F"/>
    <w:rsid w:val="00954DFE"/>
    <w:rsid w:val="00960119"/>
    <w:rsid w:val="009629A2"/>
    <w:rsid w:val="00965AE9"/>
    <w:rsid w:val="00970DBE"/>
    <w:rsid w:val="00976D3E"/>
    <w:rsid w:val="0099149D"/>
    <w:rsid w:val="009A0E88"/>
    <w:rsid w:val="009A2868"/>
    <w:rsid w:val="009A642D"/>
    <w:rsid w:val="009A64E9"/>
    <w:rsid w:val="009A6FE4"/>
    <w:rsid w:val="009A78CE"/>
    <w:rsid w:val="009B57D9"/>
    <w:rsid w:val="009C1D96"/>
    <w:rsid w:val="009C36AA"/>
    <w:rsid w:val="009C3B64"/>
    <w:rsid w:val="009C5D61"/>
    <w:rsid w:val="009D0224"/>
    <w:rsid w:val="009D23B7"/>
    <w:rsid w:val="009D46B8"/>
    <w:rsid w:val="009D735C"/>
    <w:rsid w:val="009E19C8"/>
    <w:rsid w:val="009E1CAE"/>
    <w:rsid w:val="009E27EA"/>
    <w:rsid w:val="009E41DE"/>
    <w:rsid w:val="009E5BEC"/>
    <w:rsid w:val="009F0F6C"/>
    <w:rsid w:val="009F16A0"/>
    <w:rsid w:val="00A005FE"/>
    <w:rsid w:val="00A01D1D"/>
    <w:rsid w:val="00A01F17"/>
    <w:rsid w:val="00A0360F"/>
    <w:rsid w:val="00A06BF8"/>
    <w:rsid w:val="00A15A28"/>
    <w:rsid w:val="00A27523"/>
    <w:rsid w:val="00A31AAA"/>
    <w:rsid w:val="00A34E87"/>
    <w:rsid w:val="00A4156F"/>
    <w:rsid w:val="00A42128"/>
    <w:rsid w:val="00A54710"/>
    <w:rsid w:val="00A63EEB"/>
    <w:rsid w:val="00A6758D"/>
    <w:rsid w:val="00A723FE"/>
    <w:rsid w:val="00A75349"/>
    <w:rsid w:val="00A773E6"/>
    <w:rsid w:val="00A77C7A"/>
    <w:rsid w:val="00A800DB"/>
    <w:rsid w:val="00A82F38"/>
    <w:rsid w:val="00A946E4"/>
    <w:rsid w:val="00A96A0B"/>
    <w:rsid w:val="00A970CD"/>
    <w:rsid w:val="00AA0F72"/>
    <w:rsid w:val="00AA107A"/>
    <w:rsid w:val="00AA18E2"/>
    <w:rsid w:val="00AA3241"/>
    <w:rsid w:val="00AA337F"/>
    <w:rsid w:val="00AA5181"/>
    <w:rsid w:val="00AA6231"/>
    <w:rsid w:val="00AB083B"/>
    <w:rsid w:val="00AB2E5E"/>
    <w:rsid w:val="00AB75E5"/>
    <w:rsid w:val="00AC0739"/>
    <w:rsid w:val="00AC1737"/>
    <w:rsid w:val="00AC3AF5"/>
    <w:rsid w:val="00AD01CA"/>
    <w:rsid w:val="00AD21F4"/>
    <w:rsid w:val="00AD2D47"/>
    <w:rsid w:val="00AD456B"/>
    <w:rsid w:val="00AD50CF"/>
    <w:rsid w:val="00AD7189"/>
    <w:rsid w:val="00AE1DEF"/>
    <w:rsid w:val="00B034CA"/>
    <w:rsid w:val="00B06892"/>
    <w:rsid w:val="00B06C0F"/>
    <w:rsid w:val="00B06D9B"/>
    <w:rsid w:val="00B17DBF"/>
    <w:rsid w:val="00B2381F"/>
    <w:rsid w:val="00B26B6B"/>
    <w:rsid w:val="00B40EA8"/>
    <w:rsid w:val="00B5165D"/>
    <w:rsid w:val="00B53861"/>
    <w:rsid w:val="00B55179"/>
    <w:rsid w:val="00B5758B"/>
    <w:rsid w:val="00B61ED2"/>
    <w:rsid w:val="00B6496B"/>
    <w:rsid w:val="00B6536D"/>
    <w:rsid w:val="00B72072"/>
    <w:rsid w:val="00B7516A"/>
    <w:rsid w:val="00B75C73"/>
    <w:rsid w:val="00B83AA7"/>
    <w:rsid w:val="00B85B71"/>
    <w:rsid w:val="00B92F6A"/>
    <w:rsid w:val="00B95FFF"/>
    <w:rsid w:val="00BA478E"/>
    <w:rsid w:val="00BA47FC"/>
    <w:rsid w:val="00BA49D8"/>
    <w:rsid w:val="00BA56AB"/>
    <w:rsid w:val="00BA7440"/>
    <w:rsid w:val="00BB03E8"/>
    <w:rsid w:val="00BB55EC"/>
    <w:rsid w:val="00BB5EA2"/>
    <w:rsid w:val="00BB6184"/>
    <w:rsid w:val="00BC00A5"/>
    <w:rsid w:val="00BC43D2"/>
    <w:rsid w:val="00BC7796"/>
    <w:rsid w:val="00BD444D"/>
    <w:rsid w:val="00BD6F5E"/>
    <w:rsid w:val="00BE10B5"/>
    <w:rsid w:val="00BF1D79"/>
    <w:rsid w:val="00BF6485"/>
    <w:rsid w:val="00BF7807"/>
    <w:rsid w:val="00C01ED2"/>
    <w:rsid w:val="00C02546"/>
    <w:rsid w:val="00C0297A"/>
    <w:rsid w:val="00C06414"/>
    <w:rsid w:val="00C109B3"/>
    <w:rsid w:val="00C120DB"/>
    <w:rsid w:val="00C12ECD"/>
    <w:rsid w:val="00C1437C"/>
    <w:rsid w:val="00C14EB2"/>
    <w:rsid w:val="00C17BAC"/>
    <w:rsid w:val="00C22218"/>
    <w:rsid w:val="00C24C48"/>
    <w:rsid w:val="00C24C70"/>
    <w:rsid w:val="00C26503"/>
    <w:rsid w:val="00C274D5"/>
    <w:rsid w:val="00C32604"/>
    <w:rsid w:val="00C34B50"/>
    <w:rsid w:val="00C35D65"/>
    <w:rsid w:val="00C57B15"/>
    <w:rsid w:val="00C6121C"/>
    <w:rsid w:val="00C61B79"/>
    <w:rsid w:val="00C64B04"/>
    <w:rsid w:val="00C75B4D"/>
    <w:rsid w:val="00C80586"/>
    <w:rsid w:val="00C8146D"/>
    <w:rsid w:val="00C84C24"/>
    <w:rsid w:val="00C859F9"/>
    <w:rsid w:val="00C868FE"/>
    <w:rsid w:val="00C86A1D"/>
    <w:rsid w:val="00C9189C"/>
    <w:rsid w:val="00C92BAC"/>
    <w:rsid w:val="00C92EC0"/>
    <w:rsid w:val="00C9793B"/>
    <w:rsid w:val="00CA1318"/>
    <w:rsid w:val="00CA1C2D"/>
    <w:rsid w:val="00CA327C"/>
    <w:rsid w:val="00CA4022"/>
    <w:rsid w:val="00CA472B"/>
    <w:rsid w:val="00CB0163"/>
    <w:rsid w:val="00CB1313"/>
    <w:rsid w:val="00CB2F73"/>
    <w:rsid w:val="00CB4CCF"/>
    <w:rsid w:val="00CC0A71"/>
    <w:rsid w:val="00CC0D84"/>
    <w:rsid w:val="00CC2288"/>
    <w:rsid w:val="00CC23F3"/>
    <w:rsid w:val="00CC38D7"/>
    <w:rsid w:val="00CC5322"/>
    <w:rsid w:val="00CC557A"/>
    <w:rsid w:val="00CD4A53"/>
    <w:rsid w:val="00CF2F0A"/>
    <w:rsid w:val="00CF6580"/>
    <w:rsid w:val="00D00314"/>
    <w:rsid w:val="00D0137D"/>
    <w:rsid w:val="00D0307B"/>
    <w:rsid w:val="00D0368A"/>
    <w:rsid w:val="00D1011F"/>
    <w:rsid w:val="00D12A2E"/>
    <w:rsid w:val="00D202FF"/>
    <w:rsid w:val="00D2116F"/>
    <w:rsid w:val="00D24B0D"/>
    <w:rsid w:val="00D308D5"/>
    <w:rsid w:val="00D30CDB"/>
    <w:rsid w:val="00D32E50"/>
    <w:rsid w:val="00D368AB"/>
    <w:rsid w:val="00D42180"/>
    <w:rsid w:val="00D451CC"/>
    <w:rsid w:val="00D47F9B"/>
    <w:rsid w:val="00D51DE1"/>
    <w:rsid w:val="00D5204F"/>
    <w:rsid w:val="00D545C1"/>
    <w:rsid w:val="00D57346"/>
    <w:rsid w:val="00D574A5"/>
    <w:rsid w:val="00D62D88"/>
    <w:rsid w:val="00D658FE"/>
    <w:rsid w:val="00D664BD"/>
    <w:rsid w:val="00D75B55"/>
    <w:rsid w:val="00D769D9"/>
    <w:rsid w:val="00D77A88"/>
    <w:rsid w:val="00D8204A"/>
    <w:rsid w:val="00D8325C"/>
    <w:rsid w:val="00D83468"/>
    <w:rsid w:val="00D834C1"/>
    <w:rsid w:val="00D8669F"/>
    <w:rsid w:val="00D910B1"/>
    <w:rsid w:val="00D9240F"/>
    <w:rsid w:val="00D96E69"/>
    <w:rsid w:val="00DA43BE"/>
    <w:rsid w:val="00DA5119"/>
    <w:rsid w:val="00DA5D0F"/>
    <w:rsid w:val="00DA5FB8"/>
    <w:rsid w:val="00DA715C"/>
    <w:rsid w:val="00DB11EC"/>
    <w:rsid w:val="00DB34AB"/>
    <w:rsid w:val="00DB47B2"/>
    <w:rsid w:val="00DB52FF"/>
    <w:rsid w:val="00DB5E5C"/>
    <w:rsid w:val="00DC1AC3"/>
    <w:rsid w:val="00DC221B"/>
    <w:rsid w:val="00DC2A96"/>
    <w:rsid w:val="00DC571A"/>
    <w:rsid w:val="00DD10CE"/>
    <w:rsid w:val="00DD191A"/>
    <w:rsid w:val="00DD34FE"/>
    <w:rsid w:val="00DD3F29"/>
    <w:rsid w:val="00DD7D0D"/>
    <w:rsid w:val="00DE5C4F"/>
    <w:rsid w:val="00DE6D9F"/>
    <w:rsid w:val="00DF0F9F"/>
    <w:rsid w:val="00DF1DEC"/>
    <w:rsid w:val="00DF6896"/>
    <w:rsid w:val="00DF7126"/>
    <w:rsid w:val="00E003CF"/>
    <w:rsid w:val="00E04383"/>
    <w:rsid w:val="00E1300D"/>
    <w:rsid w:val="00E131AF"/>
    <w:rsid w:val="00E14CDA"/>
    <w:rsid w:val="00E15D08"/>
    <w:rsid w:val="00E16489"/>
    <w:rsid w:val="00E16957"/>
    <w:rsid w:val="00E16A4C"/>
    <w:rsid w:val="00E16C61"/>
    <w:rsid w:val="00E21B3E"/>
    <w:rsid w:val="00E21EFE"/>
    <w:rsid w:val="00E23CF8"/>
    <w:rsid w:val="00E30BC6"/>
    <w:rsid w:val="00E36630"/>
    <w:rsid w:val="00E406EC"/>
    <w:rsid w:val="00E4135A"/>
    <w:rsid w:val="00E41739"/>
    <w:rsid w:val="00E42405"/>
    <w:rsid w:val="00E42B2B"/>
    <w:rsid w:val="00E43999"/>
    <w:rsid w:val="00E455BC"/>
    <w:rsid w:val="00E47678"/>
    <w:rsid w:val="00E50229"/>
    <w:rsid w:val="00E50BAA"/>
    <w:rsid w:val="00E50F0B"/>
    <w:rsid w:val="00E53300"/>
    <w:rsid w:val="00E576D7"/>
    <w:rsid w:val="00E61603"/>
    <w:rsid w:val="00E63749"/>
    <w:rsid w:val="00E65C5A"/>
    <w:rsid w:val="00E71D37"/>
    <w:rsid w:val="00E751E0"/>
    <w:rsid w:val="00E7624B"/>
    <w:rsid w:val="00E80CE8"/>
    <w:rsid w:val="00E82C3C"/>
    <w:rsid w:val="00E82D15"/>
    <w:rsid w:val="00E86961"/>
    <w:rsid w:val="00E91812"/>
    <w:rsid w:val="00EA4FB5"/>
    <w:rsid w:val="00EB08BB"/>
    <w:rsid w:val="00EB0A40"/>
    <w:rsid w:val="00EB3181"/>
    <w:rsid w:val="00EB7B86"/>
    <w:rsid w:val="00EC4352"/>
    <w:rsid w:val="00EC6A05"/>
    <w:rsid w:val="00EC6A19"/>
    <w:rsid w:val="00EC7D85"/>
    <w:rsid w:val="00ED5423"/>
    <w:rsid w:val="00ED57FC"/>
    <w:rsid w:val="00EE27A5"/>
    <w:rsid w:val="00EE3DF4"/>
    <w:rsid w:val="00EE6742"/>
    <w:rsid w:val="00EF10C8"/>
    <w:rsid w:val="00EF5657"/>
    <w:rsid w:val="00EF6AB6"/>
    <w:rsid w:val="00F037C7"/>
    <w:rsid w:val="00F03C4A"/>
    <w:rsid w:val="00F05C80"/>
    <w:rsid w:val="00F05F15"/>
    <w:rsid w:val="00F0604F"/>
    <w:rsid w:val="00F07CA0"/>
    <w:rsid w:val="00F11311"/>
    <w:rsid w:val="00F1288E"/>
    <w:rsid w:val="00F16E16"/>
    <w:rsid w:val="00F16F2F"/>
    <w:rsid w:val="00F21078"/>
    <w:rsid w:val="00F26325"/>
    <w:rsid w:val="00F33157"/>
    <w:rsid w:val="00F36A54"/>
    <w:rsid w:val="00F4037F"/>
    <w:rsid w:val="00F40EE8"/>
    <w:rsid w:val="00F4316C"/>
    <w:rsid w:val="00F46424"/>
    <w:rsid w:val="00F4647A"/>
    <w:rsid w:val="00F47E85"/>
    <w:rsid w:val="00F53B89"/>
    <w:rsid w:val="00F5581E"/>
    <w:rsid w:val="00F6134C"/>
    <w:rsid w:val="00F613C3"/>
    <w:rsid w:val="00F61D86"/>
    <w:rsid w:val="00F679C7"/>
    <w:rsid w:val="00F72928"/>
    <w:rsid w:val="00F72970"/>
    <w:rsid w:val="00F74AF0"/>
    <w:rsid w:val="00F75728"/>
    <w:rsid w:val="00F77026"/>
    <w:rsid w:val="00F81D4E"/>
    <w:rsid w:val="00F830C8"/>
    <w:rsid w:val="00F8533D"/>
    <w:rsid w:val="00F90014"/>
    <w:rsid w:val="00F94D76"/>
    <w:rsid w:val="00FA1AFD"/>
    <w:rsid w:val="00FA4F2F"/>
    <w:rsid w:val="00FA50C6"/>
    <w:rsid w:val="00FA6FA5"/>
    <w:rsid w:val="00FB01BC"/>
    <w:rsid w:val="00FB1195"/>
    <w:rsid w:val="00FB1753"/>
    <w:rsid w:val="00FB509C"/>
    <w:rsid w:val="00FB6FB4"/>
    <w:rsid w:val="00FC0F56"/>
    <w:rsid w:val="00FC515D"/>
    <w:rsid w:val="00FC57ED"/>
    <w:rsid w:val="00FC6AC9"/>
    <w:rsid w:val="00FD0025"/>
    <w:rsid w:val="00FE63B2"/>
    <w:rsid w:val="00FE730A"/>
    <w:rsid w:val="00FE79CD"/>
    <w:rsid w:val="00FF0DC4"/>
    <w:rsid w:val="00FF3029"/>
    <w:rsid w:val="00FF58F0"/>
    <w:rsid w:val="00FF649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425"/>
  <w15:chartTrackingRefBased/>
  <w15:docId w15:val="{733B1726-BCD5-40B1-A651-7080FD9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31"/>
  </w:style>
  <w:style w:type="paragraph" w:styleId="1">
    <w:name w:val="heading 1"/>
    <w:basedOn w:val="a"/>
    <w:next w:val="a"/>
    <w:link w:val="10"/>
    <w:uiPriority w:val="9"/>
    <w:qFormat/>
    <w:rsid w:val="00F81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0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C7231"/>
    <w:pPr>
      <w:ind w:left="720"/>
      <w:contextualSpacing/>
    </w:pPr>
  </w:style>
  <w:style w:type="paragraph" w:customStyle="1" w:styleId="Default">
    <w:name w:val="Default"/>
    <w:rsid w:val="000C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231"/>
  </w:style>
  <w:style w:type="character" w:styleId="a6">
    <w:name w:val="annotation reference"/>
    <w:basedOn w:val="a0"/>
    <w:uiPriority w:val="99"/>
    <w:unhideWhenUsed/>
    <w:qFormat/>
    <w:rsid w:val="000C723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C72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C72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23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C72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1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922D92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22D9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B6D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2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531558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0C32F0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8369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69B6"/>
  </w:style>
  <w:style w:type="character" w:customStyle="1" w:styleId="rvts23">
    <w:name w:val="rvts23"/>
    <w:basedOn w:val="a0"/>
    <w:rsid w:val="00161002"/>
  </w:style>
  <w:style w:type="paragraph" w:styleId="af3">
    <w:name w:val="footnote text"/>
    <w:basedOn w:val="a"/>
    <w:link w:val="af4"/>
    <w:uiPriority w:val="99"/>
    <w:unhideWhenUsed/>
    <w:rsid w:val="008D2BA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D2BA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D2BA8"/>
    <w:rPr>
      <w:vertAlign w:val="superscript"/>
    </w:rPr>
  </w:style>
  <w:style w:type="paragraph" w:styleId="af6">
    <w:name w:val="No Spacing"/>
    <w:uiPriority w:val="1"/>
    <w:qFormat/>
    <w:rsid w:val="0068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59B8-812D-4247-9890-316C05FC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13565</Words>
  <Characters>7733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Медведєв Сергій Олегович</dc:creator>
  <cp:keywords/>
  <dc:description/>
  <cp:lastModifiedBy>Медведєв Сергій Олегович</cp:lastModifiedBy>
  <cp:revision>3</cp:revision>
  <dcterms:created xsi:type="dcterms:W3CDTF">2023-12-29T14:58:00Z</dcterms:created>
  <dcterms:modified xsi:type="dcterms:W3CDTF">2023-12-30T08:05:00Z</dcterms:modified>
</cp:coreProperties>
</file>