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3E95" w14:textId="77777777" w:rsidR="00E57242" w:rsidRPr="007D0716" w:rsidRDefault="00E57242" w:rsidP="00E57242">
      <w:pPr>
        <w:ind w:firstLine="709"/>
        <w:rPr>
          <w:sz w:val="2"/>
          <w:szCs w:val="2"/>
        </w:rPr>
      </w:pPr>
    </w:p>
    <w:p w14:paraId="32279A7E" w14:textId="77777777" w:rsidR="00E57242" w:rsidRPr="007D0716" w:rsidRDefault="00E57242" w:rsidP="00E57242">
      <w:pPr>
        <w:ind w:firstLine="709"/>
        <w:rPr>
          <w:sz w:val="2"/>
          <w:szCs w:val="2"/>
        </w:rPr>
      </w:pPr>
    </w:p>
    <w:p w14:paraId="345EAEBD" w14:textId="77777777" w:rsidR="00E57242" w:rsidRPr="007D0716" w:rsidRDefault="00E57242" w:rsidP="00E57242">
      <w:pPr>
        <w:rPr>
          <w:sz w:val="2"/>
          <w:szCs w:val="2"/>
        </w:rPr>
      </w:pPr>
    </w:p>
    <w:p w14:paraId="2F624FC5" w14:textId="77777777" w:rsidR="00E57242" w:rsidRPr="007D0716" w:rsidRDefault="00E57242" w:rsidP="00E57242">
      <w:pPr>
        <w:rPr>
          <w:sz w:val="2"/>
          <w:szCs w:val="2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E57242" w:rsidRPr="007D0716" w14:paraId="7C35E718" w14:textId="77777777" w:rsidTr="00E57242">
        <w:trPr>
          <w:trHeight w:val="851"/>
        </w:trPr>
        <w:tc>
          <w:tcPr>
            <w:tcW w:w="3284" w:type="dxa"/>
          </w:tcPr>
          <w:p w14:paraId="699AFA80" w14:textId="77777777" w:rsidR="00E57242" w:rsidRPr="007D0716" w:rsidRDefault="00E57242">
            <w:pPr>
              <w:rPr>
                <w:lang w:eastAsia="en-US"/>
              </w:rPr>
            </w:pPr>
          </w:p>
        </w:tc>
        <w:tc>
          <w:tcPr>
            <w:tcW w:w="3285" w:type="dxa"/>
            <w:vMerge w:val="restart"/>
            <w:hideMark/>
          </w:tcPr>
          <w:p w14:paraId="7988FAB4" w14:textId="77777777" w:rsidR="00E57242" w:rsidRPr="007D0716" w:rsidRDefault="00E57242">
            <w:pPr>
              <w:jc w:val="center"/>
              <w:rPr>
                <w:lang w:eastAsia="en-US"/>
              </w:rPr>
            </w:pPr>
            <w:r w:rsidRPr="007D0716">
              <w:rPr>
                <w:lang w:eastAsia="en-US"/>
              </w:rPr>
              <w:object w:dxaOrig="660" w:dyaOrig="960" w14:anchorId="3445F5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9.2pt" o:ole="">
                  <v:imagedata r:id="rId8" o:title=""/>
                </v:shape>
                <o:OLEObject Type="Embed" ProgID="CorelDraw.Graphic.16" ShapeID="_x0000_i1025" DrawAspect="Content" ObjectID="_1731503452" r:id="rId9"/>
              </w:object>
            </w:r>
          </w:p>
        </w:tc>
        <w:tc>
          <w:tcPr>
            <w:tcW w:w="3285" w:type="dxa"/>
          </w:tcPr>
          <w:p w14:paraId="1706D569" w14:textId="77777777" w:rsidR="00E57242" w:rsidRPr="007D0716" w:rsidRDefault="00E57242">
            <w:pPr>
              <w:rPr>
                <w:lang w:eastAsia="en-US"/>
              </w:rPr>
            </w:pPr>
          </w:p>
        </w:tc>
      </w:tr>
      <w:tr w:rsidR="00E57242" w:rsidRPr="007D0716" w14:paraId="1B9CCFFD" w14:textId="77777777" w:rsidTr="00E57242">
        <w:tc>
          <w:tcPr>
            <w:tcW w:w="3284" w:type="dxa"/>
          </w:tcPr>
          <w:p w14:paraId="3AEF8EA3" w14:textId="77777777" w:rsidR="00E57242" w:rsidRPr="007D0716" w:rsidRDefault="00E572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FD411" w14:textId="77777777" w:rsidR="00E57242" w:rsidRPr="007D0716" w:rsidRDefault="00E57242">
            <w:pPr>
              <w:jc w:val="left"/>
              <w:rPr>
                <w:lang w:eastAsia="en-US"/>
              </w:rPr>
            </w:pPr>
          </w:p>
        </w:tc>
        <w:tc>
          <w:tcPr>
            <w:tcW w:w="3285" w:type="dxa"/>
          </w:tcPr>
          <w:p w14:paraId="12B74348" w14:textId="77777777" w:rsidR="00E57242" w:rsidRPr="007D0716" w:rsidRDefault="00E57242">
            <w:pPr>
              <w:rPr>
                <w:lang w:eastAsia="en-US"/>
              </w:rPr>
            </w:pPr>
          </w:p>
        </w:tc>
      </w:tr>
      <w:tr w:rsidR="00E57242" w:rsidRPr="007D0716" w14:paraId="73668631" w14:textId="77777777" w:rsidTr="00E57242">
        <w:tc>
          <w:tcPr>
            <w:tcW w:w="9854" w:type="dxa"/>
            <w:gridSpan w:val="3"/>
            <w:hideMark/>
          </w:tcPr>
          <w:p w14:paraId="69E3E48A" w14:textId="77777777" w:rsidR="00E57242" w:rsidRPr="007D0716" w:rsidRDefault="00E5724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lang w:eastAsia="en-US"/>
              </w:rPr>
            </w:pPr>
            <w:r w:rsidRPr="007D0716">
              <w:rPr>
                <w:b/>
                <w:bCs/>
                <w:color w:val="006600"/>
                <w:spacing w:val="10"/>
                <w:lang w:eastAsia="en-US"/>
              </w:rPr>
              <w:t>Правління Національного банку України</w:t>
            </w:r>
          </w:p>
          <w:p w14:paraId="66C374D9" w14:textId="77777777" w:rsidR="00E57242" w:rsidRPr="007D0716" w:rsidRDefault="00E57242">
            <w:pPr>
              <w:jc w:val="center"/>
              <w:rPr>
                <w:lang w:eastAsia="en-US"/>
              </w:rPr>
            </w:pPr>
            <w:r w:rsidRPr="007D0716">
              <w:rPr>
                <w:b/>
                <w:bCs/>
                <w:color w:val="006600"/>
                <w:sz w:val="32"/>
                <w:szCs w:val="32"/>
                <w:lang w:eastAsia="en-US"/>
              </w:rPr>
              <w:t>П О С Т А Н О В А</w:t>
            </w:r>
          </w:p>
        </w:tc>
      </w:tr>
    </w:tbl>
    <w:p w14:paraId="3F36EC14" w14:textId="77777777" w:rsidR="00E57242" w:rsidRPr="007D0716" w:rsidRDefault="00E57242" w:rsidP="00E57242">
      <w:pPr>
        <w:rPr>
          <w:sz w:val="4"/>
          <w:szCs w:val="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2630"/>
        <w:gridCol w:w="1672"/>
        <w:gridCol w:w="1894"/>
      </w:tblGrid>
      <w:tr w:rsidR="00E83641" w:rsidRPr="007D0716" w14:paraId="4DCDA9AC" w14:textId="77777777" w:rsidTr="00A471F5">
        <w:tc>
          <w:tcPr>
            <w:tcW w:w="3510" w:type="dxa"/>
            <w:vAlign w:val="bottom"/>
          </w:tcPr>
          <w:p w14:paraId="390B92DC" w14:textId="01D25FF4" w:rsidR="00E57242" w:rsidRPr="007D0716" w:rsidRDefault="00DD34CA" w:rsidP="00E83641">
            <w:pPr>
              <w:rPr>
                <w:lang w:eastAsia="en-US"/>
              </w:rPr>
            </w:pPr>
            <w:r>
              <w:rPr>
                <w:lang w:eastAsia="en-US"/>
              </w:rPr>
              <w:t>30 листопада 2022 року</w:t>
            </w:r>
          </w:p>
        </w:tc>
        <w:tc>
          <w:tcPr>
            <w:tcW w:w="2694" w:type="dxa"/>
            <w:hideMark/>
          </w:tcPr>
          <w:p w14:paraId="0C0DC25D" w14:textId="5C76BBF0" w:rsidR="00E57242" w:rsidRPr="007D0716" w:rsidRDefault="00E57242">
            <w:pPr>
              <w:spacing w:before="240"/>
              <w:jc w:val="center"/>
              <w:rPr>
                <w:lang w:eastAsia="en-US"/>
              </w:rPr>
            </w:pPr>
            <w:r w:rsidRPr="007D0716">
              <w:rPr>
                <w:color w:val="006600"/>
                <w:lang w:eastAsia="en-US"/>
              </w:rPr>
              <w:t>Київ</w:t>
            </w:r>
          </w:p>
        </w:tc>
        <w:tc>
          <w:tcPr>
            <w:tcW w:w="1713" w:type="dxa"/>
            <w:vAlign w:val="bottom"/>
            <w:hideMark/>
          </w:tcPr>
          <w:p w14:paraId="06E6255B" w14:textId="77777777" w:rsidR="00E57242" w:rsidRPr="007D0716" w:rsidRDefault="00E57242">
            <w:pPr>
              <w:jc w:val="right"/>
              <w:rPr>
                <w:lang w:eastAsia="en-US"/>
              </w:rPr>
            </w:pPr>
            <w:r w:rsidRPr="007D0716">
              <w:rPr>
                <w:color w:val="FFFFFF" w:themeColor="background1"/>
                <w:lang w:eastAsia="en-US"/>
              </w:rPr>
              <w:t>№</w:t>
            </w:r>
          </w:p>
        </w:tc>
        <w:tc>
          <w:tcPr>
            <w:tcW w:w="1937" w:type="dxa"/>
            <w:vAlign w:val="bottom"/>
            <w:hideMark/>
          </w:tcPr>
          <w:p w14:paraId="4633D70B" w14:textId="0A741536" w:rsidR="00E57242" w:rsidRPr="007D0716" w:rsidRDefault="00DD34CA" w:rsidP="00E8364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№ 235</w:t>
            </w:r>
          </w:p>
        </w:tc>
      </w:tr>
    </w:tbl>
    <w:p w14:paraId="65F2FBCE" w14:textId="77777777" w:rsidR="00E57242" w:rsidRPr="007D0716" w:rsidRDefault="00E57242" w:rsidP="00E57242">
      <w:pPr>
        <w:rPr>
          <w:sz w:val="2"/>
          <w:szCs w:val="2"/>
        </w:rPr>
      </w:pPr>
    </w:p>
    <w:p w14:paraId="35B30340" w14:textId="033D1D19" w:rsidR="00E57242" w:rsidRPr="007D0716" w:rsidRDefault="00E57242" w:rsidP="00E57242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5A91FD48" w14:textId="77777777" w:rsidR="001B5F6E" w:rsidRPr="007D0716" w:rsidRDefault="001B5F6E" w:rsidP="00E57242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1"/>
        <w:tblW w:w="3452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E57242" w:rsidRPr="007D0716" w14:paraId="54A26478" w14:textId="77777777" w:rsidTr="00E57242">
        <w:trPr>
          <w:jc w:val="center"/>
        </w:trPr>
        <w:tc>
          <w:tcPr>
            <w:tcW w:w="5000" w:type="pct"/>
            <w:hideMark/>
          </w:tcPr>
          <w:p w14:paraId="2F9079EE" w14:textId="4D50978E" w:rsidR="00E57242" w:rsidRPr="007D0716" w:rsidRDefault="00E57242" w:rsidP="00630617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7D0716">
              <w:rPr>
                <w:bCs/>
                <w:lang w:eastAsia="en-US"/>
              </w:rPr>
              <w:t xml:space="preserve">Про </w:t>
            </w:r>
            <w:r w:rsidR="00630617" w:rsidRPr="007D0716">
              <w:rPr>
                <w:bCs/>
                <w:lang w:eastAsia="en-US"/>
              </w:rPr>
              <w:t>внесення з</w:t>
            </w:r>
            <w:r w:rsidRPr="007D0716">
              <w:rPr>
                <w:bCs/>
                <w:lang w:eastAsia="en-US"/>
              </w:rPr>
              <w:t>мін 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</w:t>
            </w:r>
          </w:p>
        </w:tc>
        <w:bookmarkStart w:id="0" w:name="_GoBack"/>
        <w:bookmarkEnd w:id="0"/>
      </w:tr>
    </w:tbl>
    <w:p w14:paraId="4251C101" w14:textId="77777777" w:rsidR="001B5F6E" w:rsidRPr="007D0716" w:rsidRDefault="001B5F6E" w:rsidP="005122D3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</w:p>
    <w:p w14:paraId="74F53498" w14:textId="4F32DE37" w:rsidR="00E57242" w:rsidRPr="007D0716" w:rsidRDefault="00E57242" w:rsidP="005122D3">
      <w:pPr>
        <w:spacing w:before="240" w:after="240"/>
        <w:ind w:firstLine="567"/>
        <w:rPr>
          <w:b/>
          <w:color w:val="000000" w:themeColor="text1"/>
        </w:rPr>
      </w:pPr>
      <w:r w:rsidRPr="007D0716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статей </w:t>
      </w:r>
      <w:r w:rsidR="00AE1157" w:rsidRPr="007D0716">
        <w:rPr>
          <w:rFonts w:eastAsiaTheme="minorEastAsia"/>
          <w:color w:val="000000" w:themeColor="text1"/>
          <w:lang w:eastAsia="en-US"/>
        </w:rPr>
        <w:t>13, 17, 20</w:t>
      </w:r>
      <w:r w:rsidRPr="007D0716">
        <w:rPr>
          <w:rFonts w:eastAsiaTheme="minorEastAsia"/>
          <w:color w:val="000000" w:themeColor="text1"/>
          <w:lang w:eastAsia="en-US"/>
        </w:rPr>
        <w:t xml:space="preserve"> </w:t>
      </w:r>
      <w:r w:rsidR="00617820" w:rsidRPr="007D0716">
        <w:rPr>
          <w:color w:val="000000" w:themeColor="text1"/>
        </w:rPr>
        <w:t xml:space="preserve">Закону України “Про </w:t>
      </w:r>
      <w:r w:rsidR="00AE1157" w:rsidRPr="007D0716">
        <w:rPr>
          <w:color w:val="000000" w:themeColor="text1"/>
        </w:rPr>
        <w:t>депозитарну систему України</w:t>
      </w:r>
      <w:r w:rsidR="00617820" w:rsidRPr="007D0716">
        <w:rPr>
          <w:color w:val="000000" w:themeColor="text1"/>
        </w:rPr>
        <w:t>”</w:t>
      </w:r>
      <w:r w:rsidRPr="007D0716">
        <w:rPr>
          <w:rFonts w:eastAsiaTheme="minorEastAsia"/>
          <w:color w:val="000000" w:themeColor="text1"/>
          <w:lang w:eastAsia="en-US"/>
        </w:rPr>
        <w:t xml:space="preserve">, з </w:t>
      </w:r>
      <w:r w:rsidR="008D7834" w:rsidRPr="007D0716">
        <w:rPr>
          <w:rFonts w:eastAsiaTheme="minorEastAsia"/>
          <w:color w:val="000000" w:themeColor="text1"/>
          <w:lang w:eastAsia="en-US"/>
        </w:rPr>
        <w:t xml:space="preserve">метою </w:t>
      </w:r>
      <w:r w:rsidRPr="007D0716">
        <w:rPr>
          <w:rFonts w:eastAsiaTheme="minorEastAsia"/>
          <w:color w:val="000000" w:themeColor="text1"/>
          <w:lang w:eastAsia="en-US"/>
        </w:rPr>
        <w:t>врегулювання взаємодії Національн</w:t>
      </w:r>
      <w:r w:rsidR="00F870D3">
        <w:rPr>
          <w:rFonts w:eastAsiaTheme="minorEastAsia"/>
          <w:color w:val="000000" w:themeColor="text1"/>
          <w:lang w:eastAsia="en-US"/>
        </w:rPr>
        <w:t>ого</w:t>
      </w:r>
      <w:r w:rsidRPr="007D0716">
        <w:rPr>
          <w:rFonts w:eastAsiaTheme="minorEastAsia"/>
          <w:color w:val="000000" w:themeColor="text1"/>
          <w:lang w:eastAsia="en-US"/>
        </w:rPr>
        <w:t xml:space="preserve"> банк</w:t>
      </w:r>
      <w:r w:rsidR="00F870D3">
        <w:rPr>
          <w:rFonts w:eastAsiaTheme="minorEastAsia"/>
          <w:color w:val="000000" w:themeColor="text1"/>
          <w:lang w:eastAsia="en-US"/>
        </w:rPr>
        <w:t>у</w:t>
      </w:r>
      <w:r w:rsidRPr="007D0716">
        <w:rPr>
          <w:rFonts w:eastAsiaTheme="minorEastAsia"/>
          <w:color w:val="000000" w:themeColor="text1"/>
          <w:lang w:eastAsia="en-US"/>
        </w:rPr>
        <w:t xml:space="preserve"> України </w:t>
      </w:r>
      <w:r w:rsidR="001255BC">
        <w:rPr>
          <w:rFonts w:eastAsiaTheme="minorEastAsia"/>
          <w:color w:val="000000" w:themeColor="text1"/>
          <w:lang w:eastAsia="en-US"/>
        </w:rPr>
        <w:t>з</w:t>
      </w:r>
      <w:r w:rsidR="001255BC" w:rsidRPr="007D0716">
        <w:rPr>
          <w:rFonts w:eastAsiaTheme="minorEastAsia"/>
          <w:color w:val="000000" w:themeColor="text1"/>
          <w:lang w:eastAsia="en-US"/>
        </w:rPr>
        <w:t xml:space="preserve"> </w:t>
      </w:r>
      <w:r w:rsidR="00DA2F20" w:rsidRPr="007D0716">
        <w:rPr>
          <w:rFonts w:eastAsiaTheme="minorEastAsia"/>
          <w:color w:val="000000" w:themeColor="text1"/>
          <w:lang w:eastAsia="en-US"/>
        </w:rPr>
        <w:t xml:space="preserve">його </w:t>
      </w:r>
      <w:r w:rsidR="001255BC" w:rsidRPr="007D0716">
        <w:rPr>
          <w:rFonts w:eastAsiaTheme="minorEastAsia"/>
          <w:color w:val="000000" w:themeColor="text1"/>
          <w:lang w:eastAsia="en-US"/>
        </w:rPr>
        <w:t>клієнт</w:t>
      </w:r>
      <w:r w:rsidR="001255BC">
        <w:rPr>
          <w:rFonts w:eastAsiaTheme="minorEastAsia"/>
          <w:color w:val="000000" w:themeColor="text1"/>
          <w:lang w:eastAsia="en-US"/>
        </w:rPr>
        <w:t>ами</w:t>
      </w:r>
      <w:r w:rsidR="001255BC" w:rsidRPr="007D0716">
        <w:rPr>
          <w:color w:val="000000" w:themeColor="text1"/>
        </w:rPr>
        <w:t xml:space="preserve"> </w:t>
      </w:r>
      <w:r w:rsidR="00DA2F20">
        <w:rPr>
          <w:rFonts w:eastAsiaTheme="minorEastAsia"/>
          <w:color w:val="000000" w:themeColor="text1"/>
          <w:lang w:eastAsia="en-US"/>
        </w:rPr>
        <w:t>під час</w:t>
      </w:r>
      <w:r w:rsidR="00DA2F20" w:rsidRPr="007D0716">
        <w:rPr>
          <w:rFonts w:eastAsiaTheme="minorEastAsia"/>
          <w:color w:val="000000" w:themeColor="text1"/>
          <w:lang w:eastAsia="en-US"/>
        </w:rPr>
        <w:t xml:space="preserve"> </w:t>
      </w:r>
      <w:r w:rsidR="008D7834" w:rsidRPr="007D0716">
        <w:rPr>
          <w:rFonts w:eastAsiaTheme="minorEastAsia"/>
          <w:color w:val="000000" w:themeColor="text1"/>
          <w:lang w:eastAsia="en-US"/>
        </w:rPr>
        <w:t>провадженн</w:t>
      </w:r>
      <w:r w:rsidR="00DA2F20">
        <w:rPr>
          <w:rFonts w:eastAsiaTheme="minorEastAsia"/>
          <w:color w:val="000000" w:themeColor="text1"/>
          <w:lang w:eastAsia="en-US"/>
        </w:rPr>
        <w:t>я</w:t>
      </w:r>
      <w:r w:rsidR="008D7834" w:rsidRPr="007D0716">
        <w:rPr>
          <w:rFonts w:eastAsiaTheme="minorEastAsia"/>
          <w:color w:val="000000" w:themeColor="text1"/>
          <w:lang w:eastAsia="en-US"/>
        </w:rPr>
        <w:t xml:space="preserve"> </w:t>
      </w:r>
      <w:r w:rsidR="00DA2F20">
        <w:rPr>
          <w:rFonts w:eastAsiaTheme="minorEastAsia"/>
          <w:color w:val="000000" w:themeColor="text1"/>
          <w:lang w:eastAsia="en-US"/>
        </w:rPr>
        <w:t>Національним банком України</w:t>
      </w:r>
      <w:r w:rsidR="008D7834" w:rsidRPr="007D0716">
        <w:rPr>
          <w:rFonts w:eastAsiaTheme="minorEastAsia"/>
          <w:color w:val="000000" w:themeColor="text1"/>
          <w:lang w:eastAsia="en-US"/>
        </w:rPr>
        <w:t xml:space="preserve"> депозитарної діяльності</w:t>
      </w:r>
      <w:r w:rsidRPr="007D0716">
        <w:rPr>
          <w:rFonts w:eastAsiaTheme="minorEastAsia"/>
          <w:color w:val="000000" w:themeColor="text1"/>
          <w:lang w:eastAsia="en-US"/>
        </w:rPr>
        <w:t xml:space="preserve"> </w:t>
      </w:r>
      <w:r w:rsidRPr="007D0716">
        <w:rPr>
          <w:color w:val="000000" w:themeColor="text1"/>
        </w:rPr>
        <w:t>Правління Національного банку України</w:t>
      </w:r>
      <w:r w:rsidRPr="007D0716">
        <w:rPr>
          <w:b/>
          <w:color w:val="000000" w:themeColor="text1"/>
        </w:rPr>
        <w:t xml:space="preserve"> постановляє:</w:t>
      </w:r>
    </w:p>
    <w:p w14:paraId="14EC5A2A" w14:textId="51BE7E5D" w:rsidR="00630617" w:rsidRPr="007D0716" w:rsidRDefault="001E5983" w:rsidP="006A40EE">
      <w:pPr>
        <w:pStyle w:val="a3"/>
        <w:numPr>
          <w:ilvl w:val="0"/>
          <w:numId w:val="12"/>
        </w:numPr>
        <w:ind w:left="0" w:firstLine="709"/>
        <w:rPr>
          <w:color w:val="000000" w:themeColor="text1"/>
          <w:lang w:eastAsia="ru-RU"/>
        </w:rPr>
      </w:pPr>
      <w:proofErr w:type="spellStart"/>
      <w:r>
        <w:rPr>
          <w:color w:val="000000" w:themeColor="text1"/>
          <w:lang w:eastAsia="ru-RU"/>
        </w:rPr>
        <w:t>У</w:t>
      </w:r>
      <w:r w:rsidR="008D7834" w:rsidRPr="007D0716">
        <w:rPr>
          <w:color w:val="000000" w:themeColor="text1"/>
          <w:lang w:eastAsia="ru-RU"/>
        </w:rPr>
        <w:t>нести</w:t>
      </w:r>
      <w:proofErr w:type="spellEnd"/>
      <w:r w:rsidR="006A40EE" w:rsidRPr="007D0716">
        <w:rPr>
          <w:color w:val="000000" w:themeColor="text1"/>
          <w:lang w:eastAsia="ru-RU"/>
        </w:rPr>
        <w:t xml:space="preserve"> </w:t>
      </w:r>
      <w:r w:rsidR="008D7834" w:rsidRPr="007D0716">
        <w:rPr>
          <w:color w:val="000000" w:themeColor="text1"/>
          <w:lang w:eastAsia="ru-RU"/>
        </w:rPr>
        <w:t>до</w:t>
      </w:r>
      <w:r w:rsidR="006A40EE" w:rsidRPr="007D0716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 xml:space="preserve">глави 3 </w:t>
      </w:r>
      <w:r w:rsidR="006A40EE" w:rsidRPr="007D0716">
        <w:rPr>
          <w:color w:val="000000" w:themeColor="text1"/>
          <w:lang w:eastAsia="ru-RU"/>
        </w:rPr>
        <w:t>розділ</w:t>
      </w:r>
      <w:r w:rsidR="008D7834" w:rsidRPr="007D0716">
        <w:rPr>
          <w:color w:val="000000" w:themeColor="text1"/>
          <w:lang w:eastAsia="ru-RU"/>
        </w:rPr>
        <w:t>у</w:t>
      </w:r>
      <w:r w:rsidR="006A40EE" w:rsidRPr="007D0716">
        <w:rPr>
          <w:color w:val="000000" w:themeColor="text1"/>
          <w:lang w:eastAsia="ru-RU"/>
        </w:rPr>
        <w:t xml:space="preserve"> І Положення </w:t>
      </w:r>
      <w:r w:rsidR="00630617" w:rsidRPr="007D0716">
        <w:rPr>
          <w:color w:val="000000" w:themeColor="text1"/>
          <w:lang w:eastAsia="ru-RU"/>
        </w:rPr>
        <w:t>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</w:t>
      </w:r>
      <w:r w:rsidR="006A40EE" w:rsidRPr="007D0716">
        <w:rPr>
          <w:color w:val="000000" w:themeColor="text1"/>
          <w:lang w:eastAsia="ru-RU"/>
        </w:rPr>
        <w:t>, затвердженого</w:t>
      </w:r>
      <w:r w:rsidR="00D36B7A" w:rsidRPr="007D0716">
        <w:rPr>
          <w:color w:val="000000" w:themeColor="text1"/>
          <w:lang w:eastAsia="ru-RU"/>
        </w:rPr>
        <w:t xml:space="preserve"> </w:t>
      </w:r>
      <w:r w:rsidR="006A40EE" w:rsidRPr="007D0716">
        <w:rPr>
          <w:color w:val="000000" w:themeColor="text1"/>
          <w:lang w:eastAsia="ru-RU"/>
        </w:rPr>
        <w:t xml:space="preserve">постановою Правління Національного банку України від 21 грудня 2017 року № 140 </w:t>
      </w:r>
      <w:r w:rsidR="00630617" w:rsidRPr="007D0716">
        <w:rPr>
          <w:color w:val="000000" w:themeColor="text1"/>
          <w:lang w:eastAsia="ru-RU"/>
        </w:rPr>
        <w:t>(зі змінами)</w:t>
      </w:r>
      <w:r w:rsidR="003F6D0B">
        <w:rPr>
          <w:color w:val="000000" w:themeColor="text1"/>
          <w:lang w:eastAsia="ru-RU"/>
        </w:rPr>
        <w:t>,</w:t>
      </w:r>
      <w:r w:rsidR="006A40EE" w:rsidRPr="007D0716">
        <w:rPr>
          <w:color w:val="000000" w:themeColor="text1"/>
          <w:lang w:eastAsia="ru-RU"/>
        </w:rPr>
        <w:t xml:space="preserve"> такі зміни</w:t>
      </w:r>
      <w:r w:rsidR="00630617" w:rsidRPr="007D0716">
        <w:rPr>
          <w:color w:val="000000" w:themeColor="text1"/>
          <w:lang w:eastAsia="ru-RU"/>
        </w:rPr>
        <w:t>:</w:t>
      </w:r>
    </w:p>
    <w:p w14:paraId="1A5463E8" w14:textId="6D455776" w:rsidR="006A40EE" w:rsidRPr="007D0716" w:rsidRDefault="006A40EE" w:rsidP="006A40EE">
      <w:pPr>
        <w:pStyle w:val="a3"/>
        <w:ind w:left="0" w:firstLine="709"/>
        <w:rPr>
          <w:color w:val="000000" w:themeColor="text1"/>
          <w:lang w:eastAsia="ru-RU"/>
        </w:rPr>
      </w:pPr>
    </w:p>
    <w:p w14:paraId="7DEFA5B9" w14:textId="1402A030" w:rsidR="00E57242" w:rsidRPr="007D0716" w:rsidRDefault="006A40EE" w:rsidP="006A40EE">
      <w:pPr>
        <w:ind w:firstLine="709"/>
        <w:rPr>
          <w:color w:val="000000" w:themeColor="text1"/>
          <w:lang w:eastAsia="ru-RU"/>
        </w:rPr>
      </w:pPr>
      <w:r w:rsidRPr="007D0716">
        <w:rPr>
          <w:color w:val="000000" w:themeColor="text1"/>
          <w:lang w:eastAsia="ru-RU"/>
        </w:rPr>
        <w:t>1)</w:t>
      </w:r>
      <w:r w:rsidR="00630617" w:rsidRPr="007D0716">
        <w:rPr>
          <w:color w:val="000000" w:themeColor="text1"/>
          <w:lang w:eastAsia="ru-RU"/>
        </w:rPr>
        <w:t xml:space="preserve"> в абзаці десятому пункту 13:</w:t>
      </w:r>
    </w:p>
    <w:p w14:paraId="5D851044" w14:textId="07AE972B" w:rsidR="00630617" w:rsidRPr="007D0716" w:rsidRDefault="006A40EE" w:rsidP="006A40EE">
      <w:pPr>
        <w:ind w:firstLine="709"/>
        <w:rPr>
          <w:color w:val="000000" w:themeColor="text1"/>
          <w:lang w:eastAsia="ru-RU"/>
        </w:rPr>
      </w:pPr>
      <w:r w:rsidRPr="007D0716">
        <w:rPr>
          <w:color w:val="000000" w:themeColor="text1"/>
          <w:lang w:eastAsia="ru-RU"/>
        </w:rPr>
        <w:t xml:space="preserve">абзац </w:t>
      </w:r>
      <w:r w:rsidR="00630617" w:rsidRPr="007D0716">
        <w:rPr>
          <w:color w:val="000000" w:themeColor="text1"/>
          <w:lang w:eastAsia="ru-RU"/>
        </w:rPr>
        <w:t>після слів “державою боргом</w:t>
      </w:r>
      <w:r w:rsidRPr="007D0716">
        <w:rPr>
          <w:color w:val="000000" w:themeColor="text1"/>
          <w:lang w:eastAsia="ru-RU"/>
        </w:rPr>
        <w:t>,</w:t>
      </w:r>
      <w:r w:rsidR="00630617" w:rsidRPr="007D0716">
        <w:rPr>
          <w:color w:val="000000" w:themeColor="text1"/>
          <w:lang w:eastAsia="ru-RU"/>
        </w:rPr>
        <w:t xml:space="preserve">” </w:t>
      </w:r>
      <w:r w:rsidRPr="007D0716">
        <w:rPr>
          <w:color w:val="000000" w:themeColor="text1"/>
          <w:lang w:eastAsia="ru-RU"/>
        </w:rPr>
        <w:t xml:space="preserve">доповнити </w:t>
      </w:r>
      <w:r w:rsidR="00630617" w:rsidRPr="007D0716">
        <w:rPr>
          <w:color w:val="000000" w:themeColor="text1"/>
          <w:lang w:eastAsia="ru-RU"/>
        </w:rPr>
        <w:t>словами «</w:t>
      </w:r>
      <w:r w:rsidR="008A636E" w:rsidRPr="007D0716">
        <w:rPr>
          <w:color w:val="000000" w:themeColor="text1"/>
          <w:lang w:eastAsia="ru-RU"/>
        </w:rPr>
        <w:t>приватному акціонерному товариству “Українська фінансова житлова компанія</w:t>
      </w:r>
      <w:r w:rsidR="00630617" w:rsidRPr="007D0716">
        <w:rPr>
          <w:color w:val="000000" w:themeColor="text1"/>
          <w:lang w:eastAsia="ru-RU"/>
        </w:rPr>
        <w:t>”»;</w:t>
      </w:r>
    </w:p>
    <w:p w14:paraId="3131E6E0" w14:textId="6FCF35AA" w:rsidR="00630617" w:rsidRPr="007D0716" w:rsidRDefault="008A636E" w:rsidP="006A40EE">
      <w:pPr>
        <w:ind w:firstLine="709"/>
        <w:rPr>
          <w:color w:val="000000" w:themeColor="text1"/>
          <w:lang w:eastAsia="ru-RU"/>
        </w:rPr>
      </w:pPr>
      <w:r w:rsidRPr="007D0716">
        <w:rPr>
          <w:color w:val="000000" w:themeColor="text1"/>
          <w:lang w:eastAsia="ru-RU"/>
        </w:rPr>
        <w:t xml:space="preserve">абзац </w:t>
      </w:r>
      <w:r w:rsidR="00630617" w:rsidRPr="007D0716">
        <w:rPr>
          <w:color w:val="000000" w:themeColor="text1"/>
          <w:lang w:eastAsia="ru-RU"/>
        </w:rPr>
        <w:t xml:space="preserve">доповнити словами </w:t>
      </w:r>
      <w:r w:rsidR="00050CEE">
        <w:rPr>
          <w:color w:val="000000" w:themeColor="text1"/>
          <w:lang w:eastAsia="ru-RU"/>
        </w:rPr>
        <w:t>«</w:t>
      </w:r>
      <w:r w:rsidR="00050CEE" w:rsidRPr="00050CEE">
        <w:rPr>
          <w:color w:val="000000" w:themeColor="text1"/>
          <w:lang w:eastAsia="ru-RU"/>
        </w:rPr>
        <w:t xml:space="preserve">, ФОНДУ РОЗВИТКУ ПІДПРИЄМНИЦТВА та приватного акціонерного товариства </w:t>
      </w:r>
      <w:r w:rsidR="00050CEE" w:rsidRPr="007D0716">
        <w:rPr>
          <w:color w:val="000000" w:themeColor="text1"/>
          <w:lang w:eastAsia="ru-RU"/>
        </w:rPr>
        <w:t>“Українська фінансова житлова компанія”</w:t>
      </w:r>
      <w:r w:rsidR="00050CEE">
        <w:rPr>
          <w:color w:val="000000" w:themeColor="text1"/>
          <w:lang w:eastAsia="ru-RU"/>
        </w:rPr>
        <w:t>»</w:t>
      </w:r>
      <w:r w:rsidR="00630617" w:rsidRPr="007D0716">
        <w:rPr>
          <w:color w:val="000000" w:themeColor="text1"/>
          <w:lang w:eastAsia="ru-RU"/>
        </w:rPr>
        <w:t>;</w:t>
      </w:r>
    </w:p>
    <w:p w14:paraId="438F6363" w14:textId="77777777" w:rsidR="006A40EE" w:rsidRPr="007D0716" w:rsidRDefault="006A40EE" w:rsidP="00630617">
      <w:pPr>
        <w:ind w:firstLine="567"/>
        <w:rPr>
          <w:color w:val="000000" w:themeColor="text1"/>
          <w:lang w:eastAsia="ru-RU"/>
        </w:rPr>
      </w:pPr>
    </w:p>
    <w:p w14:paraId="6CC343C5" w14:textId="43C80237" w:rsidR="00630617" w:rsidRPr="007D0716" w:rsidRDefault="006A40EE" w:rsidP="00630617">
      <w:pPr>
        <w:ind w:firstLine="567"/>
        <w:rPr>
          <w:color w:val="000000" w:themeColor="text1"/>
          <w:lang w:eastAsia="ru-RU"/>
        </w:rPr>
      </w:pPr>
      <w:r w:rsidRPr="007D0716">
        <w:rPr>
          <w:color w:val="000000" w:themeColor="text1"/>
          <w:lang w:eastAsia="ru-RU"/>
        </w:rPr>
        <w:t xml:space="preserve">2) </w:t>
      </w:r>
      <w:r w:rsidR="00630617" w:rsidRPr="007D0716">
        <w:rPr>
          <w:color w:val="000000" w:themeColor="text1"/>
          <w:lang w:eastAsia="ru-RU"/>
        </w:rPr>
        <w:t>абзац четвертий пункту 17</w:t>
      </w:r>
      <w:r w:rsidR="00630617" w:rsidRPr="007D0716">
        <w:rPr>
          <w:color w:val="000000" w:themeColor="text1"/>
          <w:vertAlign w:val="superscript"/>
          <w:lang w:eastAsia="ru-RU"/>
        </w:rPr>
        <w:t>1</w:t>
      </w:r>
      <w:r w:rsidR="00630617" w:rsidRPr="007D0716">
        <w:rPr>
          <w:color w:val="000000" w:themeColor="text1"/>
          <w:lang w:eastAsia="ru-RU"/>
        </w:rPr>
        <w:t xml:space="preserve"> після слів “</w:t>
      </w:r>
      <w:r w:rsidR="00630617" w:rsidRPr="007D0716">
        <w:rPr>
          <w:color w:val="000000" w:themeColor="text1"/>
          <w:shd w:val="clear" w:color="auto" w:fill="FFFFFF"/>
        </w:rPr>
        <w:t>на користь Національного банку</w:t>
      </w:r>
      <w:r w:rsidR="00630617" w:rsidRPr="007D0716">
        <w:rPr>
          <w:color w:val="000000" w:themeColor="text1"/>
          <w:lang w:eastAsia="ru-RU"/>
        </w:rPr>
        <w:t xml:space="preserve">” доповнити словами </w:t>
      </w:r>
      <w:r w:rsidR="00050CEE">
        <w:rPr>
          <w:color w:val="000000" w:themeColor="text1"/>
          <w:lang w:eastAsia="ru-RU"/>
        </w:rPr>
        <w:t>«</w:t>
      </w:r>
      <w:r w:rsidR="00050CEE" w:rsidRPr="00050CEE">
        <w:rPr>
          <w:color w:val="000000" w:themeColor="text1"/>
          <w:lang w:eastAsia="ru-RU"/>
        </w:rPr>
        <w:t xml:space="preserve">, </w:t>
      </w:r>
      <w:r w:rsidR="00050CEE">
        <w:rPr>
          <w:color w:val="000000" w:themeColor="text1"/>
          <w:lang w:eastAsia="ru-RU"/>
        </w:rPr>
        <w:t>ФОНДУ РОЗВИТКУ ПІДПРИЄМНИЦТВА або</w:t>
      </w:r>
      <w:r w:rsidR="00050CEE" w:rsidRPr="00050CEE">
        <w:rPr>
          <w:color w:val="000000" w:themeColor="text1"/>
          <w:lang w:eastAsia="ru-RU"/>
        </w:rPr>
        <w:t xml:space="preserve"> приватного акціонерного товариства </w:t>
      </w:r>
      <w:r w:rsidR="00050CEE" w:rsidRPr="007D0716">
        <w:rPr>
          <w:color w:val="000000" w:themeColor="text1"/>
          <w:lang w:eastAsia="ru-RU"/>
        </w:rPr>
        <w:t>“Українська фінансова житлова компанія”</w:t>
      </w:r>
      <w:r w:rsidR="00050CEE">
        <w:rPr>
          <w:color w:val="000000" w:themeColor="text1"/>
          <w:lang w:eastAsia="ru-RU"/>
        </w:rPr>
        <w:t>»</w:t>
      </w:r>
      <w:r w:rsidR="001E5983">
        <w:rPr>
          <w:color w:val="000000" w:themeColor="text1"/>
          <w:lang w:eastAsia="ru-RU"/>
        </w:rPr>
        <w:t>.</w:t>
      </w:r>
    </w:p>
    <w:p w14:paraId="3EBB802F" w14:textId="54CCC757" w:rsidR="006A40EE" w:rsidRPr="007D0716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D0716">
        <w:rPr>
          <w:rFonts w:eastAsiaTheme="minorEastAsia"/>
          <w:noProof/>
          <w:color w:val="000000" w:themeColor="text1"/>
          <w:lang w:eastAsia="en-US"/>
        </w:rPr>
        <w:t>2. </w:t>
      </w:r>
      <w:r w:rsidRPr="007D0716">
        <w:rPr>
          <w:color w:val="000000" w:themeColor="text1"/>
          <w:lang w:eastAsia="ru-RU"/>
        </w:rPr>
        <w:t xml:space="preserve">Управлінню корпоративних прав та депозитарної діяльності Національного банку України (Андрій Супрун) після офіційного опублікування </w:t>
      </w:r>
      <w:r w:rsidRPr="007D0716">
        <w:rPr>
          <w:color w:val="000000" w:themeColor="text1"/>
          <w:lang w:eastAsia="ru-RU"/>
        </w:rPr>
        <w:lastRenderedPageBreak/>
        <w:t>довести до відома клієнтів депозитарію Національного банку України інформацію про прийняття цієї постанови.</w:t>
      </w:r>
    </w:p>
    <w:p w14:paraId="6D4050EC" w14:textId="4B6D64A9" w:rsidR="00E57242" w:rsidRPr="007D0716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D0716">
        <w:rPr>
          <w:rFonts w:eastAsiaTheme="minorEastAsia"/>
          <w:noProof/>
          <w:color w:val="000000" w:themeColor="text1"/>
          <w:lang w:eastAsia="en-US"/>
        </w:rPr>
        <w:t>3. Контроль за виконанням цієї постанови покласти на заступника Голови Національного банку України Юрія Гелетія.</w:t>
      </w:r>
    </w:p>
    <w:p w14:paraId="00E770B7" w14:textId="3EB47F09" w:rsidR="00621D52" w:rsidRPr="007D0716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D0716">
        <w:rPr>
          <w:rFonts w:eastAsiaTheme="minorEastAsia"/>
          <w:noProof/>
          <w:color w:val="000000" w:themeColor="text1"/>
          <w:lang w:eastAsia="en-US"/>
        </w:rPr>
        <w:t xml:space="preserve">4. Постанова набирає чинності з дня, наступного за днем її </w:t>
      </w:r>
      <w:r w:rsidR="00621D52" w:rsidRPr="007D0716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FE2DA8" w:rsidRPr="007D0716">
        <w:rPr>
          <w:rFonts w:eastAsiaTheme="minorEastAsia"/>
          <w:noProof/>
          <w:color w:val="000000" w:themeColor="text1"/>
          <w:lang w:eastAsia="en-US"/>
        </w:rPr>
        <w:t>.</w:t>
      </w:r>
    </w:p>
    <w:p w14:paraId="5F638C6E" w14:textId="0ACD0A51" w:rsidR="00E57242" w:rsidRPr="007D0716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090F4E6D" w14:textId="77777777" w:rsidR="00E57242" w:rsidRPr="007D0716" w:rsidRDefault="00E57242" w:rsidP="00E57242">
      <w:pPr>
        <w:spacing w:after="120"/>
      </w:pPr>
    </w:p>
    <w:p w14:paraId="2B4065BE" w14:textId="77777777" w:rsidR="00E57242" w:rsidRPr="007D0716" w:rsidRDefault="00E57242" w:rsidP="00E57242">
      <w:pPr>
        <w:spacing w:after="120"/>
      </w:pP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57242" w:rsidRPr="007D0716" w14:paraId="5EE6D104" w14:textId="77777777" w:rsidTr="00E57242">
        <w:tc>
          <w:tcPr>
            <w:tcW w:w="5387" w:type="dxa"/>
            <w:vAlign w:val="bottom"/>
            <w:hideMark/>
          </w:tcPr>
          <w:p w14:paraId="608C0210" w14:textId="77777777" w:rsidR="00E57242" w:rsidRPr="007D0716" w:rsidRDefault="00E57242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7D0716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76380A0F" w14:textId="27E6F668" w:rsidR="00E57242" w:rsidRPr="007D0716" w:rsidRDefault="00711B84" w:rsidP="00711B8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Андрій ПИШНИЙ</w:t>
            </w:r>
          </w:p>
        </w:tc>
      </w:tr>
    </w:tbl>
    <w:p w14:paraId="57ED7220" w14:textId="77777777" w:rsidR="00E57242" w:rsidRPr="007D0716" w:rsidRDefault="00E57242" w:rsidP="00E57242"/>
    <w:p w14:paraId="4B401023" w14:textId="77777777" w:rsidR="00E57242" w:rsidRPr="007D0716" w:rsidRDefault="00E57242" w:rsidP="00E57242"/>
    <w:p w14:paraId="73B7F8BC" w14:textId="77777777" w:rsidR="00E57242" w:rsidRPr="007D0716" w:rsidRDefault="00E57242" w:rsidP="00E57242">
      <w:pPr>
        <w:jc w:val="left"/>
      </w:pPr>
      <w:r w:rsidRPr="007D0716">
        <w:t>Інд.</w:t>
      </w:r>
      <w:r w:rsidRPr="007D0716">
        <w:rPr>
          <w:sz w:val="22"/>
          <w:szCs w:val="22"/>
        </w:rPr>
        <w:t xml:space="preserve"> </w:t>
      </w:r>
      <w:r w:rsidRPr="007D0716">
        <w:t>42</w:t>
      </w:r>
    </w:p>
    <w:p w14:paraId="73CE4552" w14:textId="577044C2" w:rsidR="00E57242" w:rsidRPr="007D0716" w:rsidRDefault="00E57242" w:rsidP="00E57242">
      <w:pPr>
        <w:jc w:val="left"/>
      </w:pPr>
    </w:p>
    <w:p w14:paraId="090A9E12" w14:textId="04466EB2" w:rsidR="001B5F6E" w:rsidRPr="007D0716" w:rsidRDefault="001B5F6E" w:rsidP="00E57242">
      <w:pPr>
        <w:jc w:val="left"/>
      </w:pPr>
    </w:p>
    <w:p w14:paraId="1D114BBA" w14:textId="629CD056" w:rsidR="001B5F6E" w:rsidRPr="007D0716" w:rsidRDefault="001B5F6E" w:rsidP="00E57242">
      <w:pPr>
        <w:jc w:val="left"/>
      </w:pPr>
    </w:p>
    <w:p w14:paraId="34F15C5E" w14:textId="77777777" w:rsidR="001B5F6E" w:rsidRPr="007D0716" w:rsidRDefault="001B5F6E" w:rsidP="00E57242">
      <w:pPr>
        <w:jc w:val="left"/>
      </w:pPr>
    </w:p>
    <w:p w14:paraId="21705E5A" w14:textId="5DE392E2" w:rsidR="00BF7FE0" w:rsidRPr="007D0716" w:rsidRDefault="00BF7FE0" w:rsidP="00E57242">
      <w:pPr>
        <w:jc w:val="left"/>
      </w:pPr>
      <w:r w:rsidRPr="007D0716">
        <w:t>Аркуші погодження додаються.</w:t>
      </w:r>
    </w:p>
    <w:p w14:paraId="7FB74102" w14:textId="77777777" w:rsidR="0063040E" w:rsidRPr="007D0716" w:rsidRDefault="0063040E" w:rsidP="006A40EE">
      <w:pPr>
        <w:ind w:firstLine="5812"/>
      </w:pPr>
    </w:p>
    <w:sectPr w:rsidR="0063040E" w:rsidRPr="007D0716" w:rsidSect="00DA2F20">
      <w:headerReference w:type="default" r:id="rId10"/>
      <w:headerReference w:type="first" r:id="rId11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3C94" w14:textId="77777777" w:rsidR="00BC7435" w:rsidRDefault="00BC7435" w:rsidP="000329CF">
      <w:r>
        <w:separator/>
      </w:r>
    </w:p>
  </w:endnote>
  <w:endnote w:type="continuationSeparator" w:id="0">
    <w:p w14:paraId="6AB56A46" w14:textId="77777777" w:rsidR="00BC7435" w:rsidRDefault="00BC7435" w:rsidP="0003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9B6D" w14:textId="77777777" w:rsidR="00BC7435" w:rsidRDefault="00BC7435" w:rsidP="000329CF">
      <w:r>
        <w:separator/>
      </w:r>
    </w:p>
  </w:footnote>
  <w:footnote w:type="continuationSeparator" w:id="0">
    <w:p w14:paraId="58E7A3E9" w14:textId="77777777" w:rsidR="00BC7435" w:rsidRDefault="00BC7435" w:rsidP="0003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342398"/>
      <w:docPartObj>
        <w:docPartGallery w:val="Page Numbers (Top of Page)"/>
        <w:docPartUnique/>
      </w:docPartObj>
    </w:sdtPr>
    <w:sdtEndPr/>
    <w:sdtContent>
      <w:p w14:paraId="13EF2B47" w14:textId="64342574" w:rsidR="00CB5B8E" w:rsidRDefault="00CB5B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55">
          <w:rPr>
            <w:noProof/>
          </w:rPr>
          <w:t>2</w:t>
        </w:r>
        <w:r>
          <w:fldChar w:fldCharType="end"/>
        </w:r>
      </w:p>
    </w:sdtContent>
  </w:sdt>
  <w:p w14:paraId="1C3F60C8" w14:textId="77777777" w:rsidR="00CB5B8E" w:rsidRPr="005122D3" w:rsidRDefault="00CB5B8E" w:rsidP="005122D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9E82" w14:textId="669D9B60" w:rsidR="00DD34CA" w:rsidRDefault="00DD34CA" w:rsidP="00DD34CA">
    <w:pPr>
      <w:pStyle w:val="ad"/>
      <w:jc w:val="right"/>
    </w:pPr>
    <w:r>
      <w:t>Офіційно опубліковано 0</w:t>
    </w:r>
    <w:r w:rsidR="00592555">
      <w:t>5</w:t>
    </w:r>
    <w:r>
      <w:t>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9C9"/>
    <w:multiLevelType w:val="hybridMultilevel"/>
    <w:tmpl w:val="07B63A40"/>
    <w:lvl w:ilvl="0" w:tplc="FFC00CC0">
      <w:start w:val="1"/>
      <w:numFmt w:val="decimal"/>
      <w:lvlText w:val="%1."/>
      <w:lvlJc w:val="left"/>
      <w:pPr>
        <w:ind w:left="121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9653F"/>
    <w:multiLevelType w:val="hybridMultilevel"/>
    <w:tmpl w:val="26029498"/>
    <w:lvl w:ilvl="0" w:tplc="4C22182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636E00"/>
    <w:multiLevelType w:val="hybridMultilevel"/>
    <w:tmpl w:val="D214BE9E"/>
    <w:lvl w:ilvl="0" w:tplc="8934F37E">
      <w:start w:val="1"/>
      <w:numFmt w:val="decimal"/>
      <w:lvlText w:val="%1)"/>
      <w:lvlJc w:val="left"/>
      <w:pPr>
        <w:ind w:left="6314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0801E5"/>
    <w:multiLevelType w:val="hybridMultilevel"/>
    <w:tmpl w:val="69AA335E"/>
    <w:lvl w:ilvl="0" w:tplc="6448A0D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F893BA6"/>
    <w:multiLevelType w:val="hybridMultilevel"/>
    <w:tmpl w:val="E760CA48"/>
    <w:lvl w:ilvl="0" w:tplc="A692E25E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8F7C47"/>
    <w:multiLevelType w:val="hybridMultilevel"/>
    <w:tmpl w:val="BAE807BC"/>
    <w:lvl w:ilvl="0" w:tplc="6102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4E0DE4"/>
    <w:multiLevelType w:val="hybridMultilevel"/>
    <w:tmpl w:val="38CC56C0"/>
    <w:lvl w:ilvl="0" w:tplc="9BDCDFF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18504D"/>
    <w:multiLevelType w:val="hybridMultilevel"/>
    <w:tmpl w:val="729A175C"/>
    <w:lvl w:ilvl="0" w:tplc="479EE5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B82E65"/>
    <w:multiLevelType w:val="hybridMultilevel"/>
    <w:tmpl w:val="DC6C9A1A"/>
    <w:lvl w:ilvl="0" w:tplc="A0B02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101029"/>
    <w:multiLevelType w:val="hybridMultilevel"/>
    <w:tmpl w:val="1BAE4204"/>
    <w:lvl w:ilvl="0" w:tplc="B81CB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E74C9D"/>
    <w:multiLevelType w:val="hybridMultilevel"/>
    <w:tmpl w:val="ECB0D2BE"/>
    <w:lvl w:ilvl="0" w:tplc="30D8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4738A"/>
    <w:multiLevelType w:val="hybridMultilevel"/>
    <w:tmpl w:val="EEA2573C"/>
    <w:lvl w:ilvl="0" w:tplc="79A88A6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CA5571"/>
    <w:multiLevelType w:val="hybridMultilevel"/>
    <w:tmpl w:val="4808F25E"/>
    <w:lvl w:ilvl="0" w:tplc="1EA2808E">
      <w:start w:val="1"/>
      <w:numFmt w:val="decimal"/>
      <w:lvlText w:val="%1)"/>
      <w:lvlJc w:val="left"/>
      <w:pPr>
        <w:ind w:left="4613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2"/>
    <w:rsid w:val="000043A0"/>
    <w:rsid w:val="00012C19"/>
    <w:rsid w:val="00017686"/>
    <w:rsid w:val="000329CF"/>
    <w:rsid w:val="00033FAD"/>
    <w:rsid w:val="00045AAE"/>
    <w:rsid w:val="00050CEE"/>
    <w:rsid w:val="00053867"/>
    <w:rsid w:val="00055296"/>
    <w:rsid w:val="000774DC"/>
    <w:rsid w:val="00092066"/>
    <w:rsid w:val="000B6A10"/>
    <w:rsid w:val="000B6A7E"/>
    <w:rsid w:val="000B6F39"/>
    <w:rsid w:val="000D7473"/>
    <w:rsid w:val="000E3100"/>
    <w:rsid w:val="000F745B"/>
    <w:rsid w:val="00121982"/>
    <w:rsid w:val="001255BC"/>
    <w:rsid w:val="00144D28"/>
    <w:rsid w:val="001567F7"/>
    <w:rsid w:val="00175712"/>
    <w:rsid w:val="00185A82"/>
    <w:rsid w:val="001905D4"/>
    <w:rsid w:val="00190CCF"/>
    <w:rsid w:val="001A5ED0"/>
    <w:rsid w:val="001B5F6E"/>
    <w:rsid w:val="001D3C3E"/>
    <w:rsid w:val="001E5983"/>
    <w:rsid w:val="00202162"/>
    <w:rsid w:val="00202E1E"/>
    <w:rsid w:val="00205CCA"/>
    <w:rsid w:val="00223745"/>
    <w:rsid w:val="00243200"/>
    <w:rsid w:val="00251EAA"/>
    <w:rsid w:val="00264731"/>
    <w:rsid w:val="00282E03"/>
    <w:rsid w:val="00293511"/>
    <w:rsid w:val="0029360A"/>
    <w:rsid w:val="002B2305"/>
    <w:rsid w:val="002B3A9D"/>
    <w:rsid w:val="002C42F1"/>
    <w:rsid w:val="002D28B9"/>
    <w:rsid w:val="002E2484"/>
    <w:rsid w:val="00301AF4"/>
    <w:rsid w:val="00303FB4"/>
    <w:rsid w:val="003158B8"/>
    <w:rsid w:val="00320EB4"/>
    <w:rsid w:val="00341F73"/>
    <w:rsid w:val="0034258B"/>
    <w:rsid w:val="003510F4"/>
    <w:rsid w:val="003864EE"/>
    <w:rsid w:val="00387C4F"/>
    <w:rsid w:val="003A2C10"/>
    <w:rsid w:val="003B4359"/>
    <w:rsid w:val="003C356C"/>
    <w:rsid w:val="003D7AE1"/>
    <w:rsid w:val="003F6201"/>
    <w:rsid w:val="003F6D0B"/>
    <w:rsid w:val="004107F3"/>
    <w:rsid w:val="00417B13"/>
    <w:rsid w:val="004258A3"/>
    <w:rsid w:val="00425E63"/>
    <w:rsid w:val="00470CA7"/>
    <w:rsid w:val="00486499"/>
    <w:rsid w:val="00496B95"/>
    <w:rsid w:val="004970B2"/>
    <w:rsid w:val="00497EDA"/>
    <w:rsid w:val="004A27BB"/>
    <w:rsid w:val="004A2A8E"/>
    <w:rsid w:val="004C0E89"/>
    <w:rsid w:val="004D5884"/>
    <w:rsid w:val="004E0AA0"/>
    <w:rsid w:val="00503792"/>
    <w:rsid w:val="00511821"/>
    <w:rsid w:val="005122D3"/>
    <w:rsid w:val="00530AE0"/>
    <w:rsid w:val="00531A10"/>
    <w:rsid w:val="005640FB"/>
    <w:rsid w:val="00572D2A"/>
    <w:rsid w:val="005841C6"/>
    <w:rsid w:val="005855C9"/>
    <w:rsid w:val="00585DCD"/>
    <w:rsid w:val="00592555"/>
    <w:rsid w:val="00597DC9"/>
    <w:rsid w:val="005B5485"/>
    <w:rsid w:val="005B5517"/>
    <w:rsid w:val="005B79B9"/>
    <w:rsid w:val="005D2924"/>
    <w:rsid w:val="005F6FEE"/>
    <w:rsid w:val="00611FFC"/>
    <w:rsid w:val="00617820"/>
    <w:rsid w:val="00621D52"/>
    <w:rsid w:val="00623433"/>
    <w:rsid w:val="0063040E"/>
    <w:rsid w:val="00630617"/>
    <w:rsid w:val="00641209"/>
    <w:rsid w:val="00643246"/>
    <w:rsid w:val="00647656"/>
    <w:rsid w:val="006528E3"/>
    <w:rsid w:val="00670C42"/>
    <w:rsid w:val="00682873"/>
    <w:rsid w:val="0068418B"/>
    <w:rsid w:val="00691774"/>
    <w:rsid w:val="00692B33"/>
    <w:rsid w:val="0069634A"/>
    <w:rsid w:val="006A40EE"/>
    <w:rsid w:val="006A5426"/>
    <w:rsid w:val="006B756D"/>
    <w:rsid w:val="006C7CA5"/>
    <w:rsid w:val="00711B84"/>
    <w:rsid w:val="00735572"/>
    <w:rsid w:val="00745504"/>
    <w:rsid w:val="00766C2B"/>
    <w:rsid w:val="00767C9E"/>
    <w:rsid w:val="00773F07"/>
    <w:rsid w:val="00775D46"/>
    <w:rsid w:val="00796CE5"/>
    <w:rsid w:val="007A5EA8"/>
    <w:rsid w:val="007B3108"/>
    <w:rsid w:val="007B6F79"/>
    <w:rsid w:val="007C1924"/>
    <w:rsid w:val="007D0716"/>
    <w:rsid w:val="007D320E"/>
    <w:rsid w:val="007E01AE"/>
    <w:rsid w:val="007E5236"/>
    <w:rsid w:val="00811711"/>
    <w:rsid w:val="00827BF2"/>
    <w:rsid w:val="00830551"/>
    <w:rsid w:val="00840FA5"/>
    <w:rsid w:val="00851837"/>
    <w:rsid w:val="00866B82"/>
    <w:rsid w:val="008710E5"/>
    <w:rsid w:val="00893A47"/>
    <w:rsid w:val="008A636E"/>
    <w:rsid w:val="008D09A0"/>
    <w:rsid w:val="008D7834"/>
    <w:rsid w:val="008E5250"/>
    <w:rsid w:val="00927624"/>
    <w:rsid w:val="0093484B"/>
    <w:rsid w:val="00935F72"/>
    <w:rsid w:val="00940F35"/>
    <w:rsid w:val="00950D10"/>
    <w:rsid w:val="00957579"/>
    <w:rsid w:val="00965D74"/>
    <w:rsid w:val="00970475"/>
    <w:rsid w:val="009720BB"/>
    <w:rsid w:val="00972940"/>
    <w:rsid w:val="00986665"/>
    <w:rsid w:val="009A2C19"/>
    <w:rsid w:val="009A31F4"/>
    <w:rsid w:val="009D08BE"/>
    <w:rsid w:val="009F2708"/>
    <w:rsid w:val="00A14B27"/>
    <w:rsid w:val="00A40450"/>
    <w:rsid w:val="00A4615F"/>
    <w:rsid w:val="00A471F5"/>
    <w:rsid w:val="00A47C6A"/>
    <w:rsid w:val="00A556E0"/>
    <w:rsid w:val="00A67C28"/>
    <w:rsid w:val="00A74454"/>
    <w:rsid w:val="00A75032"/>
    <w:rsid w:val="00A8568F"/>
    <w:rsid w:val="00A93DE3"/>
    <w:rsid w:val="00A972B3"/>
    <w:rsid w:val="00AC2B31"/>
    <w:rsid w:val="00AC3BFB"/>
    <w:rsid w:val="00AE1157"/>
    <w:rsid w:val="00AE1697"/>
    <w:rsid w:val="00AF0EE1"/>
    <w:rsid w:val="00B0538D"/>
    <w:rsid w:val="00B36A62"/>
    <w:rsid w:val="00B65217"/>
    <w:rsid w:val="00B65BE7"/>
    <w:rsid w:val="00B92D52"/>
    <w:rsid w:val="00B9368A"/>
    <w:rsid w:val="00BC6D6A"/>
    <w:rsid w:val="00BC7435"/>
    <w:rsid w:val="00BD51C5"/>
    <w:rsid w:val="00BD63C2"/>
    <w:rsid w:val="00BE3E94"/>
    <w:rsid w:val="00BE440C"/>
    <w:rsid w:val="00BF3F24"/>
    <w:rsid w:val="00BF7FE0"/>
    <w:rsid w:val="00C01492"/>
    <w:rsid w:val="00C127AD"/>
    <w:rsid w:val="00C16775"/>
    <w:rsid w:val="00C471BC"/>
    <w:rsid w:val="00C50BB1"/>
    <w:rsid w:val="00C5629D"/>
    <w:rsid w:val="00C940D6"/>
    <w:rsid w:val="00CB5B8E"/>
    <w:rsid w:val="00CE2497"/>
    <w:rsid w:val="00CF1286"/>
    <w:rsid w:val="00D04E8F"/>
    <w:rsid w:val="00D12D29"/>
    <w:rsid w:val="00D21E15"/>
    <w:rsid w:val="00D244EA"/>
    <w:rsid w:val="00D36B7A"/>
    <w:rsid w:val="00D56127"/>
    <w:rsid w:val="00D70FE9"/>
    <w:rsid w:val="00D7453B"/>
    <w:rsid w:val="00D85437"/>
    <w:rsid w:val="00DA2F20"/>
    <w:rsid w:val="00DA3D4B"/>
    <w:rsid w:val="00DD34CA"/>
    <w:rsid w:val="00DF09CB"/>
    <w:rsid w:val="00E01FE7"/>
    <w:rsid w:val="00E1352A"/>
    <w:rsid w:val="00E238B8"/>
    <w:rsid w:val="00E259E7"/>
    <w:rsid w:val="00E27245"/>
    <w:rsid w:val="00E30F19"/>
    <w:rsid w:val="00E47827"/>
    <w:rsid w:val="00E57242"/>
    <w:rsid w:val="00E734D7"/>
    <w:rsid w:val="00E83641"/>
    <w:rsid w:val="00E92BB8"/>
    <w:rsid w:val="00EA24CE"/>
    <w:rsid w:val="00EB4B98"/>
    <w:rsid w:val="00ED720B"/>
    <w:rsid w:val="00ED77B7"/>
    <w:rsid w:val="00EF15D4"/>
    <w:rsid w:val="00F13A7B"/>
    <w:rsid w:val="00F15755"/>
    <w:rsid w:val="00F15878"/>
    <w:rsid w:val="00F24F7C"/>
    <w:rsid w:val="00F30B72"/>
    <w:rsid w:val="00F31655"/>
    <w:rsid w:val="00F51078"/>
    <w:rsid w:val="00F62650"/>
    <w:rsid w:val="00F64080"/>
    <w:rsid w:val="00F64669"/>
    <w:rsid w:val="00F77C10"/>
    <w:rsid w:val="00F870D3"/>
    <w:rsid w:val="00FA3240"/>
    <w:rsid w:val="00FB4BD3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314143"/>
  <w15:chartTrackingRefBased/>
  <w15:docId w15:val="{05EAB6A2-B97C-4E58-AB36-7A94BD5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42"/>
    <w:pPr>
      <w:ind w:left="720"/>
      <w:contextualSpacing/>
    </w:pPr>
  </w:style>
  <w:style w:type="table" w:styleId="a4">
    <w:name w:val="Table Grid"/>
    <w:basedOn w:val="a1"/>
    <w:uiPriority w:val="59"/>
    <w:rsid w:val="00E5724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59"/>
    <w:rsid w:val="00E5724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C50B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C50BB1"/>
    <w:pPr>
      <w:widowControl w:val="0"/>
      <w:shd w:val="clear" w:color="auto" w:fill="FFFFFF"/>
      <w:spacing w:after="320"/>
      <w:ind w:firstLine="400"/>
      <w:jc w:val="left"/>
    </w:pPr>
    <w:rPr>
      <w:lang w:eastAsia="en-US"/>
    </w:rPr>
  </w:style>
  <w:style w:type="paragraph" w:customStyle="1" w:styleId="rvps2">
    <w:name w:val="rvps2"/>
    <w:basedOn w:val="a"/>
    <w:rsid w:val="007C19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F7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24F7C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annotation reference"/>
    <w:basedOn w:val="a0"/>
    <w:uiPriority w:val="99"/>
    <w:semiHidden/>
    <w:unhideWhenUsed/>
    <w:rsid w:val="00F24F7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24F7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F24F7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4F7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F24F7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d">
    <w:name w:val="header"/>
    <w:basedOn w:val="a"/>
    <w:link w:val="ae"/>
    <w:uiPriority w:val="99"/>
    <w:unhideWhenUsed/>
    <w:rsid w:val="000329C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0329C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">
    <w:name w:val="footer"/>
    <w:basedOn w:val="a"/>
    <w:link w:val="af0"/>
    <w:uiPriority w:val="99"/>
    <w:unhideWhenUsed/>
    <w:rsid w:val="000329C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0329C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1">
    <w:name w:val="Normal (Web)"/>
    <w:basedOn w:val="a"/>
    <w:uiPriority w:val="99"/>
    <w:unhideWhenUsed/>
    <w:rsid w:val="00766C2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2">
    <w:name w:val="No Spacing"/>
    <w:link w:val="af3"/>
    <w:uiPriority w:val="1"/>
    <w:qFormat/>
    <w:rsid w:val="00A47C6A"/>
    <w:pPr>
      <w:spacing w:after="0" w:line="240" w:lineRule="auto"/>
    </w:pPr>
    <w:rPr>
      <w:rFonts w:eastAsiaTheme="minorEastAsia"/>
      <w:lang w:eastAsia="uk-UA"/>
    </w:rPr>
  </w:style>
  <w:style w:type="character" w:customStyle="1" w:styleId="af3">
    <w:name w:val="Без інтервалів Знак"/>
    <w:basedOn w:val="a0"/>
    <w:link w:val="af2"/>
    <w:uiPriority w:val="1"/>
    <w:rsid w:val="00A47C6A"/>
    <w:rPr>
      <w:rFonts w:eastAsiaTheme="minorEastAsia"/>
      <w:lang w:eastAsia="uk-UA"/>
    </w:rPr>
  </w:style>
  <w:style w:type="character" w:styleId="af4">
    <w:name w:val="Hyperlink"/>
    <w:basedOn w:val="a0"/>
    <w:uiPriority w:val="99"/>
    <w:semiHidden/>
    <w:unhideWhenUsed/>
    <w:rsid w:val="00CF1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91DC-A934-4007-B879-3B0CBCF4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Бурназа Ірина Іванівна</dc:creator>
  <cp:keywords/>
  <dc:description/>
  <cp:lastModifiedBy>Котлярова Ірина Федорівна</cp:lastModifiedBy>
  <cp:revision>5</cp:revision>
  <dcterms:created xsi:type="dcterms:W3CDTF">2022-12-01T08:05:00Z</dcterms:created>
  <dcterms:modified xsi:type="dcterms:W3CDTF">2022-12-02T14:24:00Z</dcterms:modified>
</cp:coreProperties>
</file>