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0549" w14:textId="77777777" w:rsidR="00D6314B" w:rsidRPr="009E457E" w:rsidRDefault="00D6314B" w:rsidP="00A931A0">
      <w:pPr>
        <w:ind w:firstLine="5760"/>
      </w:pPr>
      <w:r w:rsidRPr="009E457E">
        <w:t>ЗАТВЕРДЖЕНО</w:t>
      </w:r>
      <w:bookmarkStart w:id="0" w:name="_GoBack"/>
      <w:bookmarkEnd w:id="0"/>
    </w:p>
    <w:p w14:paraId="45E4AC98" w14:textId="77777777" w:rsidR="00D6314B" w:rsidRPr="009E457E" w:rsidRDefault="00D6314B" w:rsidP="00D6314B">
      <w:pPr>
        <w:ind w:firstLine="5760"/>
      </w:pPr>
      <w:r w:rsidRPr="009E457E">
        <w:t xml:space="preserve">Рішення Правління </w:t>
      </w:r>
    </w:p>
    <w:p w14:paraId="70BE0C6C" w14:textId="77777777" w:rsidR="00D6314B" w:rsidRPr="009E457E" w:rsidRDefault="00D6314B" w:rsidP="00D6314B">
      <w:pPr>
        <w:ind w:firstLine="5760"/>
      </w:pPr>
      <w:r w:rsidRPr="009E457E">
        <w:t>Національного банку України</w:t>
      </w:r>
    </w:p>
    <w:p w14:paraId="45EF76D5" w14:textId="7A1FC245" w:rsidR="00D6314B" w:rsidRPr="009E457E" w:rsidRDefault="005145ED" w:rsidP="00D6314B">
      <w:pPr>
        <w:ind w:firstLine="5760"/>
      </w:pPr>
      <w:r>
        <w:t>04.08.2022 № 390-рш</w:t>
      </w:r>
    </w:p>
    <w:p w14:paraId="0EAE9CED" w14:textId="72BFAE07" w:rsidR="00D6314B" w:rsidRDefault="00D6314B" w:rsidP="00D6314B">
      <w:pPr>
        <w:ind w:firstLine="5760"/>
      </w:pPr>
    </w:p>
    <w:p w14:paraId="3E843C01" w14:textId="1FC6F8F9" w:rsidR="00F23B90" w:rsidRDefault="00F23B90" w:rsidP="00D6314B">
      <w:pPr>
        <w:ind w:firstLine="5760"/>
      </w:pPr>
    </w:p>
    <w:p w14:paraId="2F4A3EA0" w14:textId="558A7BC9" w:rsidR="00F23B90" w:rsidRPr="009E457E" w:rsidRDefault="00F23B90" w:rsidP="00D6314B">
      <w:pPr>
        <w:ind w:firstLine="5760"/>
      </w:pPr>
    </w:p>
    <w:p w14:paraId="1401DB0D" w14:textId="77777777" w:rsidR="009E457E" w:rsidRDefault="00D6314B" w:rsidP="009E457E">
      <w:pPr>
        <w:ind w:firstLine="567"/>
        <w:jc w:val="center"/>
      </w:pPr>
      <w:r w:rsidRPr="009E457E">
        <w:t xml:space="preserve">Порядок розрахунку і оприлюднення похідних показників </w:t>
      </w:r>
    </w:p>
    <w:p w14:paraId="7B204D06" w14:textId="67FA9A64" w:rsidR="00D6314B" w:rsidRPr="009E457E" w:rsidRDefault="00FB04D3" w:rsidP="009E457E">
      <w:pPr>
        <w:ind w:firstLine="567"/>
        <w:jc w:val="center"/>
      </w:pPr>
      <w:r w:rsidRPr="009E457E">
        <w:t>Українського індексу міжбанківських ставок овернайт (UONIA)</w:t>
      </w:r>
    </w:p>
    <w:p w14:paraId="2137DAAA" w14:textId="77777777" w:rsidR="00732899" w:rsidRPr="009E457E" w:rsidRDefault="00732899" w:rsidP="009E457E">
      <w:pPr>
        <w:ind w:firstLine="567"/>
        <w:jc w:val="center"/>
      </w:pPr>
    </w:p>
    <w:p w14:paraId="76CC6C6B" w14:textId="77777777" w:rsidR="00732899" w:rsidRPr="009E457E" w:rsidRDefault="00732899" w:rsidP="009E457E">
      <w:pPr>
        <w:ind w:firstLine="567"/>
        <w:jc w:val="center"/>
      </w:pPr>
      <w:r w:rsidRPr="009E457E">
        <w:t>І. Загальні положення</w:t>
      </w:r>
    </w:p>
    <w:p w14:paraId="1B683BB6" w14:textId="77777777" w:rsidR="00D6314B" w:rsidRDefault="00D6314B" w:rsidP="009E457E">
      <w:pPr>
        <w:ind w:firstLine="567"/>
        <w:jc w:val="center"/>
      </w:pPr>
    </w:p>
    <w:p w14:paraId="08C76BE5" w14:textId="7DB01262" w:rsidR="00E55F33" w:rsidRPr="009E457E" w:rsidRDefault="00E55F33" w:rsidP="009E457E">
      <w:pPr>
        <w:pStyle w:val="af3"/>
        <w:ind w:left="0" w:firstLine="567"/>
      </w:pPr>
      <w:r w:rsidRPr="009E457E">
        <w:t xml:space="preserve">1. Національний банк України </w:t>
      </w:r>
      <w:r w:rsidR="008E2DC5" w:rsidRPr="009E457E">
        <w:t xml:space="preserve">(далі – Національний банк) </w:t>
      </w:r>
      <w:r w:rsidRPr="009E457E">
        <w:t>здійснює розрахунок похідних показників Українського індексу міжбанківських ставок</w:t>
      </w:r>
      <w:r w:rsidR="0053037A">
        <w:t xml:space="preserve"> овернайт</w:t>
      </w:r>
      <w:r w:rsidRPr="009E457E">
        <w:t xml:space="preserve"> UONIA (далі – UONIA) на підставі фактичних значень UONIA, які розраховуються </w:t>
      </w:r>
      <w:r w:rsidR="0053037A">
        <w:t>й</w:t>
      </w:r>
      <w:r w:rsidRPr="009E457E">
        <w:t xml:space="preserve"> оприлюднюються </w:t>
      </w:r>
      <w:r w:rsidR="001D163F" w:rsidRPr="009E457E">
        <w:t>в порядку, визначеному окремим розпорядчим актом Національного банку</w:t>
      </w:r>
      <w:r w:rsidR="00710957" w:rsidRPr="009E457E">
        <w:t>.</w:t>
      </w:r>
    </w:p>
    <w:p w14:paraId="6582DB33" w14:textId="77777777" w:rsidR="00E92882" w:rsidRPr="009E457E" w:rsidRDefault="00E92882" w:rsidP="009E457E">
      <w:pPr>
        <w:pStyle w:val="af3"/>
        <w:ind w:left="0" w:firstLine="567"/>
      </w:pPr>
    </w:p>
    <w:p w14:paraId="68201768" w14:textId="1AE1F8C3" w:rsidR="00D71EFC" w:rsidRPr="009E457E" w:rsidRDefault="00D71EFC" w:rsidP="009E457E">
      <w:pPr>
        <w:pStyle w:val="af3"/>
        <w:ind w:left="0" w:firstLine="567"/>
      </w:pPr>
      <w:r w:rsidRPr="009E457E">
        <w:t>2. Національний банк</w:t>
      </w:r>
      <w:r w:rsidR="00BA6E02" w:rsidRPr="009E457E">
        <w:t xml:space="preserve"> здійснює</w:t>
      </w:r>
      <w:r w:rsidRPr="009E457E">
        <w:t xml:space="preserve"> розрах</w:t>
      </w:r>
      <w:r w:rsidR="00BA6E02" w:rsidRPr="009E457E">
        <w:t>унок</w:t>
      </w:r>
      <w:r w:rsidRPr="009E457E">
        <w:t xml:space="preserve"> та оприлюдн</w:t>
      </w:r>
      <w:r w:rsidR="00BA6E02" w:rsidRPr="009E457E">
        <w:t>ення</w:t>
      </w:r>
      <w:r w:rsidRPr="009E457E">
        <w:t xml:space="preserve"> похідн</w:t>
      </w:r>
      <w:r w:rsidR="00BA6E02" w:rsidRPr="009E457E">
        <w:t>их</w:t>
      </w:r>
      <w:r w:rsidRPr="009E457E">
        <w:t xml:space="preserve"> показник</w:t>
      </w:r>
      <w:r w:rsidR="0053037A">
        <w:t>ів</w:t>
      </w:r>
      <w:r w:rsidRPr="009E457E">
        <w:t xml:space="preserve"> UONIA в довідкових цілях. </w:t>
      </w:r>
      <w:r w:rsidR="00B43025" w:rsidRPr="009E457E">
        <w:t xml:space="preserve">Національний банк та учасники ринку </w:t>
      </w:r>
      <w:r w:rsidRPr="009E457E">
        <w:t>можуть використовувати похідні показники UONIA для визначення ставок за фінансовими інструментами та контрактами, де передбачено нарахування складних відсотків, однак не мають жодних зобов’язань цього робити.</w:t>
      </w:r>
    </w:p>
    <w:p w14:paraId="322ECF7E" w14:textId="77777777" w:rsidR="00E55F33" w:rsidRPr="009E457E" w:rsidRDefault="00E55F33" w:rsidP="009E457E">
      <w:pPr>
        <w:ind w:firstLine="567"/>
      </w:pPr>
    </w:p>
    <w:p w14:paraId="48DADF07" w14:textId="77777777" w:rsidR="00D41D76" w:rsidRPr="009E457E" w:rsidRDefault="00D71EFC" w:rsidP="009E457E">
      <w:pPr>
        <w:pStyle w:val="af3"/>
        <w:ind w:left="0" w:firstLine="567"/>
      </w:pPr>
      <w:r w:rsidRPr="009E457E">
        <w:t>3</w:t>
      </w:r>
      <w:r w:rsidR="00E55F33" w:rsidRPr="009E457E">
        <w:t>. </w:t>
      </w:r>
      <w:r w:rsidR="00D41D76" w:rsidRPr="009E457E">
        <w:t xml:space="preserve">Національний банк здійснює розрахунок та оприлюднення таких похідних показників </w:t>
      </w:r>
      <w:r w:rsidR="000C327A" w:rsidRPr="009E457E">
        <w:t>UONIA</w:t>
      </w:r>
      <w:r w:rsidR="00D41D76" w:rsidRPr="009E457E">
        <w:t>:</w:t>
      </w:r>
    </w:p>
    <w:p w14:paraId="0FAAE99C" w14:textId="77777777" w:rsidR="00D41D76" w:rsidRPr="009E457E" w:rsidRDefault="006950F9" w:rsidP="009E457E">
      <w:pPr>
        <w:pStyle w:val="af3"/>
        <w:ind w:left="0" w:firstLine="567"/>
      </w:pPr>
      <w:r w:rsidRPr="009E457E">
        <w:t>к</w:t>
      </w:r>
      <w:r w:rsidR="00D41D76" w:rsidRPr="009E457E">
        <w:t xml:space="preserve">умулятивний індекс UONIA (назва англійською мовою – UONIA </w:t>
      </w:r>
      <w:proofErr w:type="spellStart"/>
      <w:r w:rsidR="00D41D76" w:rsidRPr="009E457E">
        <w:t>Compounded</w:t>
      </w:r>
      <w:proofErr w:type="spellEnd"/>
      <w:r w:rsidR="00D41D76" w:rsidRPr="009E457E">
        <w:t xml:space="preserve"> </w:t>
      </w:r>
      <w:proofErr w:type="spellStart"/>
      <w:r w:rsidR="00D41D76" w:rsidRPr="009E457E">
        <w:t>Indeх</w:t>
      </w:r>
      <w:proofErr w:type="spellEnd"/>
      <w:r w:rsidRPr="009E457E">
        <w:t>)</w:t>
      </w:r>
      <w:r w:rsidR="008E2DC5" w:rsidRPr="009E457E">
        <w:t>, який відображає щоденну наростаючу зміну вартості умовного фінансового інструменту, за яким нараховуються складні відсотки на певну початкову суму, починаючи з першого дня визначення UONIA</w:t>
      </w:r>
      <w:r w:rsidRPr="009E457E">
        <w:t>;</w:t>
      </w:r>
    </w:p>
    <w:p w14:paraId="2AD0C5E3" w14:textId="77777777" w:rsidR="009077A5" w:rsidRPr="009E457E" w:rsidRDefault="006950F9" w:rsidP="009E457E">
      <w:pPr>
        <w:pStyle w:val="af3"/>
        <w:ind w:left="0" w:firstLine="567"/>
      </w:pPr>
      <w:r w:rsidRPr="009E457E">
        <w:t>к</w:t>
      </w:r>
      <w:r w:rsidR="00D41D76" w:rsidRPr="009E457E">
        <w:t>умулятивні середні ставки UONIA (назва англійською мовою</w:t>
      </w:r>
      <w:r w:rsidRPr="009E457E">
        <w:t xml:space="preserve"> – UONIA </w:t>
      </w:r>
      <w:proofErr w:type="spellStart"/>
      <w:r w:rsidRPr="009E457E">
        <w:t>Compounded</w:t>
      </w:r>
      <w:proofErr w:type="spellEnd"/>
      <w:r w:rsidRPr="009E457E">
        <w:t xml:space="preserve"> </w:t>
      </w:r>
      <w:proofErr w:type="spellStart"/>
      <w:r w:rsidRPr="009E457E">
        <w:t>Average</w:t>
      </w:r>
      <w:proofErr w:type="spellEnd"/>
      <w:r w:rsidRPr="009E457E">
        <w:t xml:space="preserve"> </w:t>
      </w:r>
      <w:r w:rsidRPr="009E457E">
        <w:rPr>
          <w:lang w:val="en-US"/>
        </w:rPr>
        <w:t>Rates</w:t>
      </w:r>
      <w:r w:rsidRPr="009E457E">
        <w:t>)</w:t>
      </w:r>
      <w:r w:rsidR="009B0AED" w:rsidRPr="009E457E">
        <w:t>, які відображають середнє значення UONIA для ви</w:t>
      </w:r>
      <w:r w:rsidR="00D73D54" w:rsidRPr="009E457E">
        <w:t>значених розрахункових періодів</w:t>
      </w:r>
      <w:r w:rsidR="009077A5" w:rsidRPr="009E457E">
        <w:t>.</w:t>
      </w:r>
    </w:p>
    <w:p w14:paraId="2644627E" w14:textId="77777777" w:rsidR="00732899" w:rsidRPr="009E457E" w:rsidRDefault="00732899" w:rsidP="009E457E">
      <w:pPr>
        <w:pStyle w:val="af3"/>
        <w:ind w:left="0" w:firstLine="567"/>
      </w:pPr>
    </w:p>
    <w:p w14:paraId="28834B20" w14:textId="61E33EAB" w:rsidR="00732899" w:rsidRPr="009E457E" w:rsidRDefault="00732899" w:rsidP="009E457E">
      <w:pPr>
        <w:pStyle w:val="af3"/>
        <w:ind w:left="0" w:firstLine="567"/>
        <w:jc w:val="center"/>
      </w:pPr>
      <w:r w:rsidRPr="009E457E">
        <w:t>ІІ</w:t>
      </w:r>
      <w:r w:rsidR="0053037A">
        <w:t>.</w:t>
      </w:r>
      <w:r w:rsidRPr="009E457E">
        <w:t xml:space="preserve"> Розрахунок кумулятивного індексу UONIA</w:t>
      </w:r>
    </w:p>
    <w:p w14:paraId="4FE5CBD0" w14:textId="77777777" w:rsidR="00D6314B" w:rsidRPr="009E457E" w:rsidRDefault="00D6314B" w:rsidP="009E457E">
      <w:pPr>
        <w:ind w:firstLine="567"/>
      </w:pPr>
    </w:p>
    <w:p w14:paraId="3DC8C573" w14:textId="04219747" w:rsidR="00D6314B" w:rsidRPr="009E457E" w:rsidRDefault="00D71EFC" w:rsidP="009E457E">
      <w:pPr>
        <w:ind w:firstLine="567"/>
      </w:pPr>
      <w:r w:rsidRPr="009E457E">
        <w:t>4</w:t>
      </w:r>
      <w:r w:rsidR="00D6314B" w:rsidRPr="009E457E">
        <w:t>.</w:t>
      </w:r>
      <w:r w:rsidR="00495A48">
        <w:t> </w:t>
      </w:r>
      <w:r w:rsidR="00D6314B" w:rsidRPr="009E457E">
        <w:t xml:space="preserve">Розрахунок кумулятивного індексу UONIA здійснюється кожного робочого дня на </w:t>
      </w:r>
      <w:r w:rsidR="0053037A">
        <w:t>підставі</w:t>
      </w:r>
      <w:r w:rsidR="0053037A" w:rsidRPr="009E457E">
        <w:t xml:space="preserve"> </w:t>
      </w:r>
      <w:r w:rsidR="00D6314B" w:rsidRPr="009E457E">
        <w:t>щоденних значень UONIA за формулою, наведен</w:t>
      </w:r>
      <w:r w:rsidR="002739B2" w:rsidRPr="009E457E">
        <w:t>ою</w:t>
      </w:r>
      <w:r w:rsidR="00D6314B" w:rsidRPr="009E457E">
        <w:t xml:space="preserve"> в додатку 1 до цього Порядку.</w:t>
      </w:r>
    </w:p>
    <w:p w14:paraId="5A4BB347" w14:textId="77777777" w:rsidR="00F75588" w:rsidRPr="009E457E" w:rsidRDefault="00F75588" w:rsidP="009E457E">
      <w:pPr>
        <w:ind w:firstLine="567"/>
      </w:pPr>
    </w:p>
    <w:p w14:paraId="25299737" w14:textId="4ACEBC07" w:rsidR="00D6314B" w:rsidRPr="009E457E" w:rsidRDefault="00F75588" w:rsidP="009E457E">
      <w:pPr>
        <w:ind w:firstLine="567"/>
      </w:pPr>
      <w:r w:rsidRPr="009E457E">
        <w:t>5. </w:t>
      </w:r>
      <w:r w:rsidR="009448B2" w:rsidRPr="009E457E">
        <w:t xml:space="preserve">Розрахунок кумулятивного індексу UONIA здійснюється </w:t>
      </w:r>
      <w:r w:rsidR="00D6314B" w:rsidRPr="009E457E">
        <w:t>з точністю до восьми знаків після коми.</w:t>
      </w:r>
    </w:p>
    <w:p w14:paraId="479AEC73" w14:textId="77777777" w:rsidR="001553B9" w:rsidRPr="009E457E" w:rsidRDefault="001553B9" w:rsidP="009E457E">
      <w:pPr>
        <w:ind w:firstLine="567"/>
      </w:pPr>
      <w:r w:rsidRPr="009E457E">
        <w:t>Округлення розрахованих значень кумулятивного індексу UONIA здійснюється за такими правилами:</w:t>
      </w:r>
    </w:p>
    <w:p w14:paraId="1D6DDEF5" w14:textId="4428406E" w:rsidR="001553B9" w:rsidRPr="009E457E" w:rsidRDefault="001553B9" w:rsidP="009E457E">
      <w:pPr>
        <w:ind w:firstLine="567"/>
      </w:pPr>
      <w:r w:rsidRPr="009E457E">
        <w:lastRenderedPageBreak/>
        <w:t>якщо дев’ят</w:t>
      </w:r>
      <w:r w:rsidR="0053037A">
        <w:t>ий</w:t>
      </w:r>
      <w:r w:rsidRPr="009E457E">
        <w:t xml:space="preserve"> знак після коми </w:t>
      </w:r>
      <w:r w:rsidR="0053037A">
        <w:t xml:space="preserve">є цифрою </w:t>
      </w:r>
      <w:r w:rsidRPr="009E457E">
        <w:t>від 0 до 4, то восьм</w:t>
      </w:r>
      <w:r w:rsidR="0053037A">
        <w:t>ий</w:t>
      </w:r>
      <w:r w:rsidRPr="009E457E">
        <w:t xml:space="preserve"> знак після коми залишається без змін;</w:t>
      </w:r>
    </w:p>
    <w:p w14:paraId="1B0F150E" w14:textId="44C16A40" w:rsidR="001553B9" w:rsidRPr="009E457E" w:rsidRDefault="001553B9" w:rsidP="009E457E">
      <w:pPr>
        <w:ind w:firstLine="567"/>
      </w:pPr>
      <w:r w:rsidRPr="009E457E">
        <w:t>якщо дев’ят</w:t>
      </w:r>
      <w:r w:rsidR="0053037A">
        <w:t>ий</w:t>
      </w:r>
      <w:r w:rsidRPr="009E457E">
        <w:t xml:space="preserve"> знак після коми </w:t>
      </w:r>
      <w:r w:rsidR="0053037A">
        <w:t xml:space="preserve">є цифрою </w:t>
      </w:r>
      <w:r w:rsidRPr="009E457E">
        <w:t>від 5 до 9, то восьм</w:t>
      </w:r>
      <w:r w:rsidR="0053037A">
        <w:t>ий</w:t>
      </w:r>
      <w:r w:rsidRPr="009E457E">
        <w:t xml:space="preserve"> знак після коми збільшується на одиницю.</w:t>
      </w:r>
    </w:p>
    <w:p w14:paraId="2CA76878" w14:textId="77777777" w:rsidR="009448B2" w:rsidRPr="009E457E" w:rsidRDefault="009448B2" w:rsidP="009E457E">
      <w:pPr>
        <w:ind w:firstLine="567"/>
      </w:pPr>
    </w:p>
    <w:p w14:paraId="2D5F87C8" w14:textId="7D9C195F" w:rsidR="009448B2" w:rsidRPr="009E457E" w:rsidRDefault="009448B2" w:rsidP="009E457E">
      <w:pPr>
        <w:ind w:firstLine="567"/>
        <w:jc w:val="center"/>
      </w:pPr>
      <w:r w:rsidRPr="009E457E">
        <w:t>ІІІ</w:t>
      </w:r>
      <w:r w:rsidR="005A5063">
        <w:t>.</w:t>
      </w:r>
      <w:r w:rsidRPr="009E457E">
        <w:t xml:space="preserve"> Розрахунок кумулятивних середніх ставок UONIA</w:t>
      </w:r>
    </w:p>
    <w:p w14:paraId="44E8C25F" w14:textId="77777777" w:rsidR="00D6314B" w:rsidRPr="009E457E" w:rsidRDefault="00D6314B" w:rsidP="009E457E">
      <w:pPr>
        <w:ind w:firstLine="567"/>
      </w:pPr>
    </w:p>
    <w:p w14:paraId="307591A0" w14:textId="636D2B2B" w:rsidR="00D6314B" w:rsidRPr="009E457E" w:rsidRDefault="00F75588" w:rsidP="009E457E">
      <w:pPr>
        <w:ind w:firstLine="567"/>
      </w:pPr>
      <w:r w:rsidRPr="009E457E">
        <w:t>6</w:t>
      </w:r>
      <w:r w:rsidR="00D6314B" w:rsidRPr="009E457E">
        <w:t xml:space="preserve">. Розрахунок кумулятивних середніх ставок UONIA здійснюється кожного робочого дня на </w:t>
      </w:r>
      <w:r w:rsidR="005A5063">
        <w:t>підставі</w:t>
      </w:r>
      <w:r w:rsidR="005A5063" w:rsidRPr="009E457E">
        <w:t xml:space="preserve"> </w:t>
      </w:r>
      <w:r w:rsidR="00D6314B" w:rsidRPr="009E457E">
        <w:t xml:space="preserve">щоденних значень UONIA за відповідний попередній період за формулою, </w:t>
      </w:r>
      <w:r w:rsidR="002739B2" w:rsidRPr="009E457E">
        <w:t>наведеною</w:t>
      </w:r>
      <w:r w:rsidR="00D6314B" w:rsidRPr="009E457E">
        <w:t xml:space="preserve"> </w:t>
      </w:r>
      <w:r w:rsidR="002739B2" w:rsidRPr="009E457E">
        <w:t>в</w:t>
      </w:r>
      <w:r w:rsidR="00D6314B" w:rsidRPr="009E457E">
        <w:t xml:space="preserve"> додатку 2 до цього Порядку.</w:t>
      </w:r>
      <w:r w:rsidR="00F66EEA" w:rsidRPr="009E457E">
        <w:t xml:space="preserve"> </w:t>
      </w:r>
    </w:p>
    <w:p w14:paraId="29607C2C" w14:textId="77777777" w:rsidR="00F75588" w:rsidRPr="009E457E" w:rsidRDefault="00F75588" w:rsidP="009E457E">
      <w:pPr>
        <w:ind w:firstLine="567"/>
      </w:pPr>
    </w:p>
    <w:p w14:paraId="75885DAD" w14:textId="008525C0" w:rsidR="00F75588" w:rsidRPr="009E457E" w:rsidRDefault="000B24F4" w:rsidP="009E457E">
      <w:pPr>
        <w:ind w:firstLine="567"/>
      </w:pPr>
      <w:r w:rsidRPr="009E457E">
        <w:t>7</w:t>
      </w:r>
      <w:r w:rsidR="00F75588" w:rsidRPr="009E457E">
        <w:t>. </w:t>
      </w:r>
      <w:r w:rsidR="009448B2" w:rsidRPr="009E457E">
        <w:t xml:space="preserve">Розрахунок кумулятивних середніх ставок UONIA здійснюється </w:t>
      </w:r>
      <w:r w:rsidR="00F75588" w:rsidRPr="009E457E">
        <w:t>з точністю до п’яти знаків після коми.</w:t>
      </w:r>
    </w:p>
    <w:p w14:paraId="0B7EB0CF" w14:textId="77777777" w:rsidR="00F75588" w:rsidRPr="009E457E" w:rsidRDefault="00F75588" w:rsidP="009E457E">
      <w:pPr>
        <w:ind w:firstLine="567"/>
      </w:pPr>
      <w:r w:rsidRPr="009E457E">
        <w:t>Округлення розрахованих значень кумулятивних середніх ставок UONIA здійснюється за такими правилами:</w:t>
      </w:r>
    </w:p>
    <w:p w14:paraId="1651AB86" w14:textId="0D3E9A8F" w:rsidR="00F75588" w:rsidRPr="009E457E" w:rsidRDefault="00F75588" w:rsidP="009E457E">
      <w:pPr>
        <w:ind w:firstLine="567"/>
      </w:pPr>
      <w:r w:rsidRPr="009E457E">
        <w:t>якщо шост</w:t>
      </w:r>
      <w:r w:rsidR="005A5063">
        <w:t>ий</w:t>
      </w:r>
      <w:r w:rsidRPr="009E457E">
        <w:t xml:space="preserve"> знак після коми </w:t>
      </w:r>
      <w:r w:rsidR="005A5063">
        <w:t xml:space="preserve">є цифрою </w:t>
      </w:r>
      <w:r w:rsidRPr="009E457E">
        <w:t>від 0 до 4, то п’ят</w:t>
      </w:r>
      <w:r w:rsidR="005A5063">
        <w:t>ий</w:t>
      </w:r>
      <w:r w:rsidRPr="009E457E">
        <w:t xml:space="preserve"> знак після коми залишається без змін;</w:t>
      </w:r>
    </w:p>
    <w:p w14:paraId="562E019B" w14:textId="562B9DBA" w:rsidR="00F75588" w:rsidRPr="009E457E" w:rsidRDefault="00F75588" w:rsidP="009E457E">
      <w:pPr>
        <w:ind w:firstLine="567"/>
      </w:pPr>
      <w:r w:rsidRPr="009E457E">
        <w:t>якщо шост</w:t>
      </w:r>
      <w:r w:rsidR="005A5063">
        <w:t>ий</w:t>
      </w:r>
      <w:r w:rsidRPr="009E457E">
        <w:t xml:space="preserve"> знак після коми </w:t>
      </w:r>
      <w:r w:rsidR="005A5063">
        <w:t xml:space="preserve">є цифрою </w:t>
      </w:r>
      <w:r w:rsidRPr="009E457E">
        <w:t>від 5 до 9, то п’ят</w:t>
      </w:r>
      <w:r w:rsidR="005A5063">
        <w:t>ий</w:t>
      </w:r>
      <w:r w:rsidRPr="009E457E">
        <w:t xml:space="preserve"> знак після коми збільшується на одиницю.</w:t>
      </w:r>
    </w:p>
    <w:p w14:paraId="3E006D8D" w14:textId="77777777" w:rsidR="000B24F4" w:rsidRPr="009E457E" w:rsidRDefault="000B24F4" w:rsidP="009E457E">
      <w:pPr>
        <w:ind w:firstLine="567"/>
      </w:pPr>
    </w:p>
    <w:p w14:paraId="317796AF" w14:textId="1E330A44" w:rsidR="00D6314B" w:rsidRPr="009E457E" w:rsidRDefault="000B24F4" w:rsidP="009E457E">
      <w:pPr>
        <w:ind w:firstLine="567"/>
      </w:pPr>
      <w:r w:rsidRPr="009E457E">
        <w:t>8</w:t>
      </w:r>
      <w:r w:rsidR="00F75588" w:rsidRPr="009E457E">
        <w:t>. </w:t>
      </w:r>
      <w:r w:rsidR="00D6314B" w:rsidRPr="009E457E">
        <w:t xml:space="preserve">Розрахунок кумулятивних середніх ставок UONIA здійснюється за такі </w:t>
      </w:r>
      <w:r w:rsidR="00F5163F" w:rsidRPr="009E457E">
        <w:t xml:space="preserve">розрахункові </w:t>
      </w:r>
      <w:r w:rsidR="00D6314B" w:rsidRPr="009E457E">
        <w:t xml:space="preserve">періоди: </w:t>
      </w:r>
      <w:r w:rsidR="005A5063">
        <w:t>один</w:t>
      </w:r>
      <w:r w:rsidR="00D6314B" w:rsidRPr="009E457E">
        <w:t xml:space="preserve"> міс</w:t>
      </w:r>
      <w:r w:rsidR="00314325" w:rsidRPr="009E457E">
        <w:t xml:space="preserve">яць, </w:t>
      </w:r>
      <w:r w:rsidR="005A5063">
        <w:t>три</w:t>
      </w:r>
      <w:r w:rsidR="00314325" w:rsidRPr="009E457E">
        <w:t xml:space="preserve"> місяці, </w:t>
      </w:r>
      <w:r w:rsidR="005A5063">
        <w:t>шість</w:t>
      </w:r>
      <w:r w:rsidR="00314325" w:rsidRPr="009E457E">
        <w:t xml:space="preserve"> місяців.</w:t>
      </w:r>
      <w:r w:rsidR="00F75588" w:rsidRPr="009E457E">
        <w:rPr>
          <w:highlight w:val="yellow"/>
        </w:rPr>
        <w:t xml:space="preserve"> </w:t>
      </w:r>
    </w:p>
    <w:p w14:paraId="53DC96F5" w14:textId="1BA2E880" w:rsidR="003D5A3E" w:rsidRPr="009E457E" w:rsidRDefault="003D5A3E" w:rsidP="009E457E">
      <w:pPr>
        <w:ind w:firstLine="567"/>
      </w:pPr>
      <w:r w:rsidRPr="009E457E">
        <w:t xml:space="preserve">Розрахунок кумулятивних середніх ставок UONIA </w:t>
      </w:r>
      <w:r w:rsidR="002739B2" w:rsidRPr="009E457E">
        <w:t>з</w:t>
      </w:r>
      <w:r w:rsidRPr="009E457E">
        <w:t>а будь-який період</w:t>
      </w:r>
      <w:r w:rsidR="002739B2" w:rsidRPr="009E457E">
        <w:t>,</w:t>
      </w:r>
      <w:r w:rsidRPr="009E457E">
        <w:t xml:space="preserve"> відмінний</w:t>
      </w:r>
      <w:r w:rsidR="002739B2" w:rsidRPr="009E457E">
        <w:t xml:space="preserve"> від</w:t>
      </w:r>
      <w:r w:rsidRPr="009E457E">
        <w:t xml:space="preserve"> </w:t>
      </w:r>
      <w:r w:rsidR="002739B2" w:rsidRPr="009E457E">
        <w:t>періодів</w:t>
      </w:r>
      <w:r w:rsidRPr="009E457E">
        <w:t xml:space="preserve">, </w:t>
      </w:r>
      <w:r w:rsidR="002739B2" w:rsidRPr="009E457E">
        <w:t xml:space="preserve">за </w:t>
      </w:r>
      <w:r w:rsidRPr="009E457E">
        <w:t xml:space="preserve">які </w:t>
      </w:r>
      <w:r w:rsidR="00BA6E02" w:rsidRPr="009E457E">
        <w:t xml:space="preserve">Національний банк здійснює розрахунок та оприлюднення </w:t>
      </w:r>
      <w:r w:rsidR="00D6042E" w:rsidRPr="009E457E">
        <w:t>кумулятивних</w:t>
      </w:r>
      <w:r w:rsidR="002739B2" w:rsidRPr="009E457E">
        <w:t xml:space="preserve"> середні</w:t>
      </w:r>
      <w:r w:rsidR="00D6042E" w:rsidRPr="009E457E">
        <w:t>х ставок</w:t>
      </w:r>
      <w:r w:rsidR="002739B2" w:rsidRPr="009E457E">
        <w:t xml:space="preserve"> UONIA,</w:t>
      </w:r>
      <w:r w:rsidRPr="009E457E">
        <w:t xml:space="preserve"> </w:t>
      </w:r>
      <w:r w:rsidR="002739B2" w:rsidRPr="009E457E">
        <w:t>за потреби може бути здійснений</w:t>
      </w:r>
      <w:r w:rsidR="00710957" w:rsidRPr="009E457E">
        <w:t xml:space="preserve"> зацікавленими особами самостійно</w:t>
      </w:r>
      <w:r w:rsidR="002739B2" w:rsidRPr="009E457E">
        <w:t xml:space="preserve"> за </w:t>
      </w:r>
      <w:r w:rsidRPr="009E457E">
        <w:t>формулою, наведен</w:t>
      </w:r>
      <w:r w:rsidR="002739B2" w:rsidRPr="009E457E">
        <w:t>ою</w:t>
      </w:r>
      <w:r w:rsidRPr="009E457E">
        <w:t xml:space="preserve"> </w:t>
      </w:r>
      <w:r w:rsidR="002739B2" w:rsidRPr="009E457E">
        <w:t>в</w:t>
      </w:r>
      <w:r w:rsidRPr="009E457E">
        <w:t xml:space="preserve"> додатку 3 до цього Порядку. </w:t>
      </w:r>
    </w:p>
    <w:p w14:paraId="5098179C" w14:textId="77777777" w:rsidR="009448B2" w:rsidRPr="009E457E" w:rsidRDefault="009448B2" w:rsidP="009E457E">
      <w:pPr>
        <w:ind w:firstLine="567"/>
      </w:pPr>
    </w:p>
    <w:p w14:paraId="75CE9702" w14:textId="01BB5310" w:rsidR="009448B2" w:rsidRPr="009E457E" w:rsidRDefault="009448B2" w:rsidP="009E457E">
      <w:pPr>
        <w:ind w:firstLine="567"/>
      </w:pPr>
      <w:r w:rsidRPr="009E457E">
        <w:t>9.</w:t>
      </w:r>
      <w:r w:rsidRPr="009E457E">
        <w:rPr>
          <w:lang w:val="ru-RU"/>
        </w:rPr>
        <w:t> </w:t>
      </w:r>
      <w:r w:rsidRPr="009E457E">
        <w:t xml:space="preserve">Початковим днем розрахункового періоду </w:t>
      </w:r>
      <w:r w:rsidR="005A5063">
        <w:t>один</w:t>
      </w:r>
      <w:r w:rsidRPr="009E457E">
        <w:t xml:space="preserve"> місяць є відповідний календарний день попереднього місяця з урахуванням </w:t>
      </w:r>
      <w:r w:rsidR="00EB0C4F" w:rsidRPr="009E457E">
        <w:t>особливостей</w:t>
      </w:r>
      <w:r w:rsidRPr="009E457E">
        <w:t xml:space="preserve">, </w:t>
      </w:r>
      <w:r w:rsidR="00C31D04" w:rsidRPr="009E457E">
        <w:t>ви</w:t>
      </w:r>
      <w:r w:rsidR="00EB0C4F" w:rsidRPr="009E457E">
        <w:t>значених</w:t>
      </w:r>
      <w:r w:rsidRPr="009E457E">
        <w:t xml:space="preserve"> </w:t>
      </w:r>
      <w:r w:rsidR="00EB0C4F" w:rsidRPr="009E457E">
        <w:t>у</w:t>
      </w:r>
      <w:r w:rsidRPr="009E457E">
        <w:t xml:space="preserve"> пункті 10 розділу ІІІ цього Порядку. </w:t>
      </w:r>
    </w:p>
    <w:p w14:paraId="118411AE" w14:textId="62FCB4D7" w:rsidR="009448B2" w:rsidRPr="009E457E" w:rsidRDefault="009448B2" w:rsidP="009E457E">
      <w:pPr>
        <w:ind w:firstLine="567"/>
      </w:pPr>
      <w:r w:rsidRPr="009E457E">
        <w:t xml:space="preserve">Початковим днем розрахункового періоду </w:t>
      </w:r>
      <w:r w:rsidR="005A5063">
        <w:t>три</w:t>
      </w:r>
      <w:r w:rsidRPr="009E457E">
        <w:t> місяці/</w:t>
      </w:r>
      <w:r w:rsidR="005A5063">
        <w:t>шість</w:t>
      </w:r>
      <w:r w:rsidRPr="009E457E">
        <w:t> місяців є відповідний календарний день</w:t>
      </w:r>
      <w:r w:rsidR="0070610A" w:rsidRPr="009E457E">
        <w:t xml:space="preserve"> </w:t>
      </w:r>
      <w:r w:rsidR="00710957" w:rsidRPr="009E457E">
        <w:t>місяця</w:t>
      </w:r>
      <w:r w:rsidRPr="009E457E">
        <w:t xml:space="preserve">, який визначається шляхом віднімання від поточного місяця трьох/шести календарних місяців відповідно, що йдуть поспіль, з урахуванням </w:t>
      </w:r>
      <w:r w:rsidR="00EB0C4F" w:rsidRPr="009E457E">
        <w:t xml:space="preserve">особливостей, визначених у </w:t>
      </w:r>
      <w:r w:rsidR="00C31D04" w:rsidRPr="009E457E">
        <w:t>пункті 10 розділу ІІІ цього Порядку</w:t>
      </w:r>
      <w:r w:rsidRPr="009E457E">
        <w:t>.</w:t>
      </w:r>
    </w:p>
    <w:p w14:paraId="12A6EDB2" w14:textId="77777777" w:rsidR="00C31D04" w:rsidRPr="009E457E" w:rsidRDefault="00C31D04" w:rsidP="009E457E">
      <w:pPr>
        <w:ind w:firstLine="567"/>
      </w:pPr>
    </w:p>
    <w:p w14:paraId="2AEA527B" w14:textId="34FBBD1A" w:rsidR="00EB0C4F" w:rsidRPr="009E457E" w:rsidRDefault="00C31D04" w:rsidP="009E457E">
      <w:pPr>
        <w:ind w:firstLine="567"/>
      </w:pPr>
      <w:r w:rsidRPr="009E457E">
        <w:t>10. </w:t>
      </w:r>
      <w:r w:rsidR="00EB0C4F" w:rsidRPr="009E457E">
        <w:t xml:space="preserve">День початку розрахункового періоду, визначений відповідно до пункту 9 розділу ІІІ цього </w:t>
      </w:r>
      <w:r w:rsidR="005A5063">
        <w:t>П</w:t>
      </w:r>
      <w:r w:rsidR="00EB0C4F" w:rsidRPr="009E457E">
        <w:t>орядку, підлягає перенесенню, якщо він припадає на неробочий день. Таке перенесення здійснюється на:</w:t>
      </w:r>
    </w:p>
    <w:p w14:paraId="7A6B0329" w14:textId="36E3FBAD" w:rsidR="00EB0C4F" w:rsidRPr="009E457E" w:rsidRDefault="00EB0C4F" w:rsidP="009E457E">
      <w:pPr>
        <w:ind w:firstLine="567"/>
      </w:pPr>
      <w:r w:rsidRPr="009E457E">
        <w:t>робочий день, який передував такому неробочому дню</w:t>
      </w:r>
      <w:r w:rsidR="005A5063">
        <w:t>,</w:t>
      </w:r>
      <w:r w:rsidRPr="009E457E">
        <w:t xml:space="preserve"> – якщо обидва зазначених дня належать до одного календарного місяця;</w:t>
      </w:r>
    </w:p>
    <w:p w14:paraId="0721BAD0" w14:textId="6734F762" w:rsidR="00F75588" w:rsidRPr="009E457E" w:rsidRDefault="00EB0C4F" w:rsidP="009E457E">
      <w:pPr>
        <w:ind w:firstLine="567"/>
      </w:pPr>
      <w:r w:rsidRPr="009E457E">
        <w:t>наступний робочий день, що слідує за таким неробочим днем</w:t>
      </w:r>
      <w:r w:rsidR="005A5063">
        <w:t>,</w:t>
      </w:r>
      <w:r w:rsidRPr="009E457E">
        <w:t xml:space="preserve"> – в іншому </w:t>
      </w:r>
      <w:r w:rsidR="00AD7F3D">
        <w:t>випадку</w:t>
      </w:r>
      <w:r w:rsidR="00B42A50" w:rsidRPr="009E457E">
        <w:t>.</w:t>
      </w:r>
    </w:p>
    <w:p w14:paraId="34086DD1" w14:textId="77777777" w:rsidR="00274B33" w:rsidRPr="009E457E" w:rsidRDefault="00274B33" w:rsidP="009E457E">
      <w:pPr>
        <w:ind w:firstLine="567"/>
      </w:pPr>
    </w:p>
    <w:p w14:paraId="4269C3DE" w14:textId="0DB11DCC" w:rsidR="00ED4119" w:rsidRPr="009E457E" w:rsidRDefault="00ED4119" w:rsidP="009E457E">
      <w:pPr>
        <w:ind w:firstLine="567"/>
        <w:jc w:val="center"/>
      </w:pPr>
      <w:r w:rsidRPr="009E457E">
        <w:rPr>
          <w:lang w:val="en-US"/>
        </w:rPr>
        <w:t>IV</w:t>
      </w:r>
      <w:r w:rsidR="009E1A54">
        <w:t>.</w:t>
      </w:r>
      <w:r w:rsidRPr="009E457E">
        <w:t xml:space="preserve"> Оприлюднення похідних показників UONIA</w:t>
      </w:r>
    </w:p>
    <w:p w14:paraId="6E8BE66D" w14:textId="77777777" w:rsidR="00ED4119" w:rsidRPr="009E457E" w:rsidRDefault="00ED4119" w:rsidP="009E457E">
      <w:pPr>
        <w:ind w:firstLine="567"/>
      </w:pPr>
    </w:p>
    <w:p w14:paraId="0813C815" w14:textId="35470FD2" w:rsidR="00D6314B" w:rsidRPr="009E457E" w:rsidRDefault="00ED4119" w:rsidP="009E457E">
      <w:pPr>
        <w:ind w:firstLine="567"/>
      </w:pPr>
      <w:r w:rsidRPr="009E457E">
        <w:t>11</w:t>
      </w:r>
      <w:r w:rsidR="000C327A" w:rsidRPr="009E457E">
        <w:t>. </w:t>
      </w:r>
      <w:r w:rsidR="00D6314B" w:rsidRPr="009E457E">
        <w:t>Оприлюднення похідних показникі</w:t>
      </w:r>
      <w:r w:rsidR="00A55858" w:rsidRPr="009E457E">
        <w:t>в UONIA здійснюється до 10</w:t>
      </w:r>
      <w:r w:rsidR="009E1A54">
        <w:t>.00</w:t>
      </w:r>
      <w:r w:rsidR="00D6314B" w:rsidRPr="009E457E">
        <w:t xml:space="preserve"> кожного робочого дня </w:t>
      </w:r>
      <w:r w:rsidR="009E1A54">
        <w:t>в</w:t>
      </w:r>
      <w:r w:rsidR="00C76354" w:rsidRPr="009E457E">
        <w:t xml:space="preserve"> розділі</w:t>
      </w:r>
      <w:r w:rsidR="00D6314B" w:rsidRPr="009E457E">
        <w:t xml:space="preserve"> “Фінансові ринки” офіційного Інтернет-представництва Національного банку.</w:t>
      </w:r>
    </w:p>
    <w:p w14:paraId="79EF7111" w14:textId="77777777" w:rsidR="00D6314B" w:rsidRPr="009E457E" w:rsidRDefault="00D6314B" w:rsidP="009E457E">
      <w:pPr>
        <w:ind w:firstLine="567"/>
      </w:pPr>
    </w:p>
    <w:p w14:paraId="71D19627" w14:textId="4A15AA46" w:rsidR="00E62786" w:rsidRPr="009E457E" w:rsidRDefault="00ED4119" w:rsidP="009E457E">
      <w:pPr>
        <w:ind w:firstLine="567"/>
      </w:pPr>
      <w:r w:rsidRPr="009E457E">
        <w:t>12</w:t>
      </w:r>
      <w:r w:rsidR="00D6314B" w:rsidRPr="009E457E">
        <w:t>.</w:t>
      </w:r>
      <w:r w:rsidR="00495A48">
        <w:t> </w:t>
      </w:r>
      <w:r w:rsidR="00D6314B" w:rsidRPr="009E457E">
        <w:t xml:space="preserve">Національний банк публікує на </w:t>
      </w:r>
      <w:r w:rsidR="00C76354" w:rsidRPr="009E457E">
        <w:t xml:space="preserve">сторінках офіційного Інтернет-представництва Національного банку </w:t>
      </w:r>
      <w:r w:rsidR="00D6314B" w:rsidRPr="009E457E">
        <w:t>повний архів значень похідних показників UONIA починаючи з дати запровадження розрахунку UONIA</w:t>
      </w:r>
      <w:r w:rsidR="002D48B8" w:rsidRPr="009E457E">
        <w:t>, а також розпорядчі акти Національного банку, відповідно до яких здійснювалися розрахунки похідних показників UONIA</w:t>
      </w:r>
      <w:r w:rsidR="00D6314B" w:rsidRPr="009E457E">
        <w:t xml:space="preserve">. </w:t>
      </w:r>
    </w:p>
    <w:p w14:paraId="107A5579" w14:textId="77777777" w:rsidR="00E62786" w:rsidRPr="009E457E" w:rsidRDefault="00E62786" w:rsidP="009E457E">
      <w:pPr>
        <w:ind w:firstLine="567"/>
      </w:pPr>
    </w:p>
    <w:p w14:paraId="402DCDD0" w14:textId="0CB87785" w:rsidR="00D5765A" w:rsidRPr="009E457E" w:rsidRDefault="00ED4119" w:rsidP="009E457E">
      <w:pPr>
        <w:ind w:firstLine="567"/>
      </w:pPr>
      <w:r w:rsidRPr="009E457E">
        <w:t>13. </w:t>
      </w:r>
      <w:r w:rsidR="00D5765A" w:rsidRPr="009E457E">
        <w:t xml:space="preserve">Національний банк </w:t>
      </w:r>
      <w:r w:rsidR="009E1A54">
        <w:t>під час</w:t>
      </w:r>
      <w:r w:rsidR="00D5765A" w:rsidRPr="009E457E">
        <w:t xml:space="preserve"> оприлюдненн</w:t>
      </w:r>
      <w:r w:rsidR="009E1A54">
        <w:t>я</w:t>
      </w:r>
      <w:r w:rsidR="00D5765A" w:rsidRPr="009E457E">
        <w:t xml:space="preserve"> значень кумулятивних середніх ставок UONIA зазначає день початку та день закінчення відповідних розрахункових періодів</w:t>
      </w:r>
      <w:r w:rsidRPr="009E457E">
        <w:t>.</w:t>
      </w:r>
    </w:p>
    <w:p w14:paraId="383D69A6" w14:textId="77777777" w:rsidR="00D5765A" w:rsidRPr="009E457E" w:rsidRDefault="00D5765A" w:rsidP="009E457E">
      <w:pPr>
        <w:ind w:firstLine="567"/>
      </w:pPr>
    </w:p>
    <w:p w14:paraId="270ACAEA" w14:textId="751D30E4" w:rsidR="00E62786" w:rsidRPr="009E457E" w:rsidRDefault="00ED4119" w:rsidP="009E457E">
      <w:pPr>
        <w:ind w:firstLine="567"/>
      </w:pPr>
      <w:r w:rsidRPr="009E457E">
        <w:t>14</w:t>
      </w:r>
      <w:r w:rsidR="00E62786" w:rsidRPr="009E457E">
        <w:t>.</w:t>
      </w:r>
      <w:r w:rsidR="00495A48">
        <w:t> </w:t>
      </w:r>
      <w:r w:rsidR="00E62786" w:rsidRPr="009E457E">
        <w:t xml:space="preserve">Опубліковані значення похідних показників UONIA не підлягають перегляду </w:t>
      </w:r>
      <w:r w:rsidR="009E1A54">
        <w:t>в разі</w:t>
      </w:r>
      <w:r w:rsidR="00E62786" w:rsidRPr="009E457E">
        <w:t xml:space="preserve"> внесення змін до порядку </w:t>
      </w:r>
      <w:r w:rsidR="002D48B8" w:rsidRPr="009E457E">
        <w:t>їх розрахунку</w:t>
      </w:r>
      <w:r w:rsidR="00E62786" w:rsidRPr="009E457E">
        <w:t>.</w:t>
      </w:r>
    </w:p>
    <w:p w14:paraId="64174308" w14:textId="77777777" w:rsidR="00D6314B" w:rsidRPr="009E457E" w:rsidRDefault="00D6314B" w:rsidP="009E457E">
      <w:pPr>
        <w:ind w:firstLine="567"/>
      </w:pPr>
    </w:p>
    <w:p w14:paraId="6B736371" w14:textId="77777777" w:rsidR="00D6314B" w:rsidRPr="009E457E" w:rsidRDefault="00D6314B" w:rsidP="009E457E">
      <w:pPr>
        <w:ind w:firstLine="567"/>
      </w:pPr>
    </w:p>
    <w:p w14:paraId="44BAE893" w14:textId="77777777" w:rsidR="00D6314B" w:rsidRDefault="00D6314B" w:rsidP="00D6314B">
      <w:pPr>
        <w:ind w:firstLine="709"/>
        <w:sectPr w:rsidR="00D6314B" w:rsidSect="009E457E">
          <w:headerReference w:type="default" r:id="rId12"/>
          <w:pgSz w:w="11906" w:h="16838" w:code="9"/>
          <w:pgMar w:top="567" w:right="567" w:bottom="1701" w:left="1701" w:header="284" w:footer="709" w:gutter="0"/>
          <w:cols w:space="708"/>
          <w:titlePg/>
          <w:docGrid w:linePitch="381"/>
        </w:sectPr>
      </w:pPr>
    </w:p>
    <w:p w14:paraId="5179396D" w14:textId="77777777" w:rsidR="00D6314B" w:rsidRPr="00036022" w:rsidRDefault="00D6314B" w:rsidP="00D6314B">
      <w:pPr>
        <w:ind w:left="6379"/>
      </w:pPr>
      <w:r w:rsidRPr="00036022">
        <w:lastRenderedPageBreak/>
        <w:t xml:space="preserve">Додаток 1 </w:t>
      </w:r>
    </w:p>
    <w:p w14:paraId="329CE543" w14:textId="77777777" w:rsidR="00D6314B" w:rsidRPr="00036022" w:rsidRDefault="00D6314B" w:rsidP="00D6314B">
      <w:pPr>
        <w:ind w:left="6379"/>
      </w:pPr>
      <w:r w:rsidRPr="00036022">
        <w:t>до Порядку розрахунку і оприлюднення похідних показників UONIA</w:t>
      </w:r>
    </w:p>
    <w:p w14:paraId="48140CF0" w14:textId="77777777" w:rsidR="00D6314B" w:rsidRPr="00036022" w:rsidRDefault="00D6314B" w:rsidP="00D6314B">
      <w:pPr>
        <w:ind w:left="6379"/>
      </w:pPr>
      <w:r w:rsidRPr="00036022">
        <w:t>(</w:t>
      </w:r>
      <w:r w:rsidR="00D71EFC">
        <w:t>пункт 4</w:t>
      </w:r>
      <w:r w:rsidR="00ED4119">
        <w:t xml:space="preserve"> розділу ІІ</w:t>
      </w:r>
      <w:r w:rsidRPr="00036022">
        <w:t>)</w:t>
      </w:r>
    </w:p>
    <w:p w14:paraId="4441259C" w14:textId="13BAD5BA" w:rsidR="00D6314B" w:rsidRDefault="00D6314B" w:rsidP="00D6314B">
      <w:pPr>
        <w:ind w:left="3430"/>
      </w:pPr>
    </w:p>
    <w:p w14:paraId="01A5FC5E" w14:textId="77777777" w:rsidR="00345F4C" w:rsidRPr="00036022" w:rsidRDefault="00345F4C" w:rsidP="00D6314B">
      <w:pPr>
        <w:ind w:left="3430"/>
      </w:pPr>
    </w:p>
    <w:p w14:paraId="124CA405" w14:textId="77777777" w:rsidR="00D6314B" w:rsidRPr="00036022" w:rsidRDefault="00D6314B" w:rsidP="00D6314B">
      <w:pPr>
        <w:ind w:left="170"/>
        <w:jc w:val="center"/>
      </w:pPr>
      <w:r w:rsidRPr="00036022">
        <w:t xml:space="preserve">Формула розрахунку кумулятивного індексу UONIA </w:t>
      </w:r>
    </w:p>
    <w:p w14:paraId="213D1F32" w14:textId="77777777" w:rsidR="00D6314B" w:rsidRDefault="00D6314B" w:rsidP="00D6314B">
      <w:pPr>
        <w:ind w:firstLine="709"/>
      </w:pPr>
    </w:p>
    <w:p w14:paraId="40E290AA" w14:textId="77777777" w:rsidR="00D6314B" w:rsidRDefault="00D6314B" w:rsidP="00D6314B">
      <w:pPr>
        <w:ind w:firstLine="709"/>
      </w:pPr>
      <w:r w:rsidRPr="00E814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82ED" wp14:editId="20646D3B">
                <wp:simplePos x="0" y="0"/>
                <wp:positionH relativeFrom="column">
                  <wp:posOffset>4892040</wp:posOffset>
                </wp:positionH>
                <wp:positionV relativeFrom="paragraph">
                  <wp:posOffset>144145</wp:posOffset>
                </wp:positionV>
                <wp:extent cx="1192378" cy="307238"/>
                <wp:effectExtent l="0" t="0" r="0" b="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378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41BA0" w14:textId="791F0885" w:rsidR="00D6314B" w:rsidRPr="001004C6" w:rsidRDefault="00D6314B" w:rsidP="00D6314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AD7F3D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я</w:t>
                            </w:r>
                            <w:r w:rsidRPr="001004C6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кщо </w:t>
                            </w:r>
                            <w:r w:rsidRPr="001004C6">
                              <w:rPr>
                                <w:i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і </w:t>
                            </w:r>
                            <w:r w:rsidRPr="00AD7F3D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= 0</w:t>
                            </w:r>
                            <w:r w:rsidR="00A853E6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D82ED" id="Прямокутник 1" o:spid="_x0000_s1026" style="position:absolute;left:0;text-align:left;margin-left:385.2pt;margin-top:11.35pt;width:93.9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" filled="f" stroked="f" strokeweight="2pt">
                <v:textbox>
                  <w:txbxContent>
                    <w:p w14:paraId="74841BA0" w14:textId="791F0885" w:rsidR="00D6314B" w:rsidRPr="001004C6" w:rsidRDefault="00D6314B" w:rsidP="00D6314B">
                      <w:pPr>
                        <w:jc w:val="center"/>
                        <w:rPr>
                          <w:b/>
                          <w:color w:val="0D0D0D" w:themeColor="text1" w:themeTint="F2"/>
                          <w:sz w:val="22"/>
                          <w:szCs w:val="2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AD7F3D">
                        <w:rPr>
                          <w:color w:val="0D0D0D" w:themeColor="text1" w:themeTint="F2"/>
                          <w:sz w:val="22"/>
                          <w:szCs w:val="22"/>
                        </w:rPr>
                        <w:t>я</w:t>
                      </w:r>
                      <w:r w:rsidRPr="001004C6">
                        <w:rPr>
                          <w:color w:val="0D0D0D" w:themeColor="text1" w:themeTint="F2"/>
                          <w:sz w:val="22"/>
                          <w:szCs w:val="22"/>
                        </w:rPr>
                        <w:t xml:space="preserve">кщо </w:t>
                      </w:r>
                      <w:r w:rsidRPr="001004C6">
                        <w:rPr>
                          <w:i/>
                          <w:color w:val="0D0D0D" w:themeColor="text1" w:themeTint="F2"/>
                          <w:sz w:val="22"/>
                          <w:szCs w:val="22"/>
                        </w:rPr>
                        <w:t xml:space="preserve">і </w:t>
                      </w:r>
                      <w:r w:rsidRPr="00AD7F3D">
                        <w:rPr>
                          <w:color w:val="0D0D0D" w:themeColor="text1" w:themeTint="F2"/>
                          <w:sz w:val="22"/>
                          <w:szCs w:val="22"/>
                        </w:rPr>
                        <w:t>= 0</w:t>
                      </w:r>
                      <w:r w:rsidR="00A853E6">
                        <w:rPr>
                          <w:color w:val="0D0D0D" w:themeColor="text1" w:themeTint="F2"/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</w:p>
    <w:p w14:paraId="4ED498E2" w14:textId="4D8E0116" w:rsidR="00D6314B" w:rsidRPr="000D315B" w:rsidRDefault="00B13153" w:rsidP="00D6314B">
      <w:pPr>
        <w:ind w:firstLine="709"/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Кумулятивний індекс UONIA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100,</m:t>
                  </m:r>
                </m:e>
                <m:e>
                  <m:r>
                    <w:rPr>
                      <w:rFonts w:ascii="Cambria Math" w:hAnsi="Cambria Math"/>
                    </w:rPr>
                    <m:t>100×</m:t>
                  </m:r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t-1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t-1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365∙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 xml:space="preserve">,  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 якщо  i&gt;0,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FFFFFF" w:themeColor="background1"/>
                            </w:rPr>
                            <m:t>1</m:t>
                          </m:r>
                        </m:sup>
                      </m:sSubSup>
                    </m:e>
                  </m:nary>
                </m:e>
              </m:eqArr>
            </m:e>
          </m:d>
        </m:oMath>
      </m:oMathPara>
    </w:p>
    <w:p w14:paraId="4CF9E8BF" w14:textId="77777777" w:rsidR="00D6314B" w:rsidRPr="00AD7F3D" w:rsidRDefault="00D6314B" w:rsidP="00AD7F3D">
      <w:pPr>
        <w:ind w:firstLine="567"/>
        <w:rPr>
          <w:iCs/>
        </w:rPr>
      </w:pPr>
    </w:p>
    <w:p w14:paraId="2B9E2898" w14:textId="234DA441" w:rsidR="00D6314B" w:rsidRPr="00473CD9" w:rsidRDefault="00D6314B" w:rsidP="00AD7F3D">
      <w:pPr>
        <w:tabs>
          <w:tab w:val="left" w:pos="567"/>
        </w:tabs>
      </w:pPr>
      <w:r>
        <w:t>де</w:t>
      </w:r>
      <w:r w:rsidR="00495A48">
        <w:t xml:space="preserve"> </w:t>
      </w:r>
      <w:r w:rsidR="00495A48">
        <w:tab/>
      </w:r>
      <w:r w:rsidRPr="00473CD9">
        <w:t xml:space="preserve">i </w:t>
      </w:r>
      <w:r w:rsidR="001B62FF" w:rsidRPr="00473CD9">
        <w:t>–</w:t>
      </w:r>
      <w:r w:rsidRPr="00473CD9">
        <w:t xml:space="preserve"> порядковий номер робочого дня, в який здійснюється розрахунок </w:t>
      </w:r>
      <w:r w:rsidR="001B62FF" w:rsidRPr="00473CD9">
        <w:t>кумулятивного індексу UONIA</w:t>
      </w:r>
      <w:r w:rsidRPr="00473CD9">
        <w:t>;</w:t>
      </w:r>
    </w:p>
    <w:p w14:paraId="6D881FD7" w14:textId="75551700" w:rsidR="00D6314B" w:rsidRPr="00473CD9" w:rsidRDefault="002E63DA" w:rsidP="00AD7F3D">
      <w:pPr>
        <w:ind w:firstLine="567"/>
      </w:pPr>
      <w:proofErr w:type="spellStart"/>
      <w:proofErr w:type="gramStart"/>
      <w:r w:rsidRPr="00473CD9">
        <w:rPr>
          <w:lang w:val="en-US"/>
        </w:rPr>
        <w:t>r</w:t>
      </w:r>
      <w:r w:rsidRPr="00473CD9">
        <w:rPr>
          <w:vertAlign w:val="subscript"/>
          <w:lang w:val="en-US"/>
        </w:rPr>
        <w:t>t</w:t>
      </w:r>
      <w:proofErr w:type="spellEnd"/>
      <w:r w:rsidR="00F5163F" w:rsidRPr="00473CD9">
        <w:rPr>
          <w:vertAlign w:val="subscript"/>
        </w:rPr>
        <w:t>-1</w:t>
      </w:r>
      <w:proofErr w:type="gramEnd"/>
      <w:r w:rsidR="00D6314B" w:rsidRPr="00473CD9">
        <w:t xml:space="preserve"> </w:t>
      </w:r>
      <w:r w:rsidR="001B62FF" w:rsidRPr="00473CD9">
        <w:t>–</w:t>
      </w:r>
      <w:r w:rsidR="00D6314B" w:rsidRPr="00473CD9">
        <w:t xml:space="preserve"> ставка UONIA, розрахована за даними робочого дня</w:t>
      </w:r>
      <w:r w:rsidR="00B61D15" w:rsidRPr="00473CD9">
        <w:rPr>
          <w:lang w:val="ru-RU"/>
        </w:rPr>
        <w:t xml:space="preserve"> </w:t>
      </w:r>
      <w:r w:rsidRPr="00AD7F3D">
        <w:rPr>
          <w:i/>
          <w:lang w:val="en-US"/>
        </w:rPr>
        <w:t>t</w:t>
      </w:r>
      <w:r w:rsidR="00F5163F" w:rsidRPr="00AD7F3D">
        <w:rPr>
          <w:i/>
        </w:rPr>
        <w:t>-1</w:t>
      </w:r>
      <w:r w:rsidR="00D6314B" w:rsidRPr="00473CD9">
        <w:rPr>
          <w:i/>
        </w:rPr>
        <w:t>;</w:t>
      </w:r>
      <w:r w:rsidR="001B62FF" w:rsidRPr="00473CD9">
        <w:t xml:space="preserve"> </w:t>
      </w:r>
    </w:p>
    <w:p w14:paraId="1A3A6608" w14:textId="2D9E13F0" w:rsidR="00D6314B" w:rsidRPr="00435ACB" w:rsidRDefault="002E63DA" w:rsidP="00AD7F3D">
      <w:pPr>
        <w:ind w:firstLine="567"/>
      </w:pPr>
      <w:proofErr w:type="spellStart"/>
      <w:proofErr w:type="gramStart"/>
      <w:r w:rsidRPr="00473CD9">
        <w:rPr>
          <w:rFonts w:ascii="Cambria Math" w:hAnsi="Cambria Math" w:cs="Cambria Math"/>
          <w:lang w:val="en-US"/>
        </w:rPr>
        <w:t>n</w:t>
      </w:r>
      <w:r w:rsidRPr="00473CD9">
        <w:rPr>
          <w:rFonts w:ascii="Cambria Math" w:hAnsi="Cambria Math" w:cs="Cambria Math"/>
          <w:vertAlign w:val="subscript"/>
          <w:lang w:val="en-US"/>
        </w:rPr>
        <w:t>t</w:t>
      </w:r>
      <w:proofErr w:type="spellEnd"/>
      <w:r w:rsidR="00F5163F" w:rsidRPr="00473CD9">
        <w:rPr>
          <w:rFonts w:ascii="Cambria Math" w:hAnsi="Cambria Math" w:cs="Cambria Math"/>
          <w:vertAlign w:val="subscript"/>
        </w:rPr>
        <w:t>-1</w:t>
      </w:r>
      <w:proofErr w:type="gramEnd"/>
      <w:r w:rsidR="00D6314B" w:rsidRPr="00473CD9">
        <w:t xml:space="preserve"> </w:t>
      </w:r>
      <w:r w:rsidR="001B62FF" w:rsidRPr="00473CD9">
        <w:t>–</w:t>
      </w:r>
      <w:r w:rsidR="00D6314B" w:rsidRPr="00473CD9">
        <w:t xml:space="preserve"> кількість календарних днів</w:t>
      </w:r>
      <w:r w:rsidR="00EB26D1" w:rsidRPr="00473CD9">
        <w:t xml:space="preserve"> між робочим днем </w:t>
      </w:r>
      <w:r w:rsidR="00EB26D1" w:rsidRPr="00473CD9">
        <w:rPr>
          <w:i/>
        </w:rPr>
        <w:t>t</w:t>
      </w:r>
      <w:r w:rsidR="00F9325C" w:rsidRPr="00473CD9">
        <w:rPr>
          <w:i/>
        </w:rPr>
        <w:t>-1</w:t>
      </w:r>
      <w:r w:rsidR="00EB26D1" w:rsidRPr="00473CD9">
        <w:t xml:space="preserve"> та наступним робочим днем</w:t>
      </w:r>
      <w:r w:rsidR="00D6314B" w:rsidRPr="00473CD9">
        <w:t>.</w:t>
      </w:r>
    </w:p>
    <w:p w14:paraId="0BD9EDD1" w14:textId="77777777" w:rsidR="000A101F" w:rsidRPr="00B43175" w:rsidRDefault="000A101F" w:rsidP="00AD7F3D">
      <w:pPr>
        <w:ind w:firstLine="567"/>
      </w:pPr>
    </w:p>
    <w:p w14:paraId="4F9F17D3" w14:textId="22FB6448" w:rsidR="00D6314B" w:rsidRDefault="00851BF2" w:rsidP="00AD7F3D">
      <w:pPr>
        <w:ind w:firstLine="567"/>
      </w:pPr>
      <w:r w:rsidRPr="00B43175">
        <w:t>i</w:t>
      </w:r>
      <w:r w:rsidR="00D6314B" w:rsidRPr="00B43175">
        <w:t xml:space="preserve"> = 0</w:t>
      </w:r>
      <w:r w:rsidR="00B43175" w:rsidRPr="00B43175">
        <w:t xml:space="preserve"> </w:t>
      </w:r>
      <w:r w:rsidR="00D6314B" w:rsidRPr="00B43175">
        <w:t xml:space="preserve">– </w:t>
      </w:r>
      <w:r w:rsidR="00510B1A" w:rsidRPr="00510B1A">
        <w:t>відповідає першій даті, за яку було здійснено розрахунок UONIA (22.06.2020)</w:t>
      </w:r>
      <w:r w:rsidR="00D6314B">
        <w:t>.</w:t>
      </w:r>
    </w:p>
    <w:p w14:paraId="33ED269A" w14:textId="4A1D8194" w:rsidR="00D6314B" w:rsidRDefault="00D6314B" w:rsidP="00AD7F3D">
      <w:pPr>
        <w:ind w:firstLine="567"/>
      </w:pPr>
      <w:r>
        <w:t xml:space="preserve">Початкове значення кумулятивного індексу </w:t>
      </w:r>
      <w:r w:rsidRPr="00D50331">
        <w:t xml:space="preserve">UONIA </w:t>
      </w:r>
      <w:r w:rsidR="00CA2DE6" w:rsidRPr="00CA2DE6">
        <w:t xml:space="preserve">за день 22.06.2020 </w:t>
      </w:r>
      <w:r w:rsidR="001B62FF">
        <w:t>становить</w:t>
      </w:r>
      <w:r>
        <w:t xml:space="preserve"> 100,00000000.</w:t>
      </w:r>
    </w:p>
    <w:p w14:paraId="2BEEBF15" w14:textId="77777777" w:rsidR="00D6314B" w:rsidRDefault="00D6314B" w:rsidP="00D6314B">
      <w:pPr>
        <w:ind w:firstLine="709"/>
      </w:pPr>
    </w:p>
    <w:p w14:paraId="01255A01" w14:textId="77777777" w:rsidR="00D6314B" w:rsidRDefault="00D6314B" w:rsidP="00D6314B">
      <w:pPr>
        <w:ind w:firstLine="709"/>
        <w:sectPr w:rsidR="00D6314B" w:rsidSect="00495A48"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10FA95E2" w14:textId="77777777" w:rsidR="00D6314B" w:rsidRPr="00036022" w:rsidRDefault="00D6314B" w:rsidP="00D6314B">
      <w:pPr>
        <w:ind w:left="6379"/>
      </w:pPr>
      <w:r w:rsidRPr="00036022">
        <w:lastRenderedPageBreak/>
        <w:t xml:space="preserve">Додаток </w:t>
      </w:r>
      <w:r w:rsidR="00A55858">
        <w:t>2</w:t>
      </w:r>
      <w:r w:rsidRPr="00036022">
        <w:t xml:space="preserve"> </w:t>
      </w:r>
    </w:p>
    <w:p w14:paraId="7854B772" w14:textId="77777777" w:rsidR="00D6314B" w:rsidRPr="00036022" w:rsidRDefault="00D6314B" w:rsidP="00D6314B">
      <w:pPr>
        <w:ind w:left="6379"/>
      </w:pPr>
      <w:r w:rsidRPr="00036022">
        <w:t>до Порядку розрахунку і оприлюднення похідних показників UONIA</w:t>
      </w:r>
    </w:p>
    <w:p w14:paraId="650E8C88" w14:textId="77777777" w:rsidR="00D6314B" w:rsidRPr="00036022" w:rsidRDefault="00F75588" w:rsidP="00D6314B">
      <w:pPr>
        <w:ind w:left="6379"/>
      </w:pPr>
      <w:r>
        <w:t>(пункт 6</w:t>
      </w:r>
      <w:r w:rsidR="00ED4119">
        <w:t xml:space="preserve"> розділу ІІІ</w:t>
      </w:r>
      <w:r w:rsidR="00D6314B" w:rsidRPr="00036022">
        <w:t>)</w:t>
      </w:r>
    </w:p>
    <w:p w14:paraId="7A32263A" w14:textId="6D472E48" w:rsidR="00D6314B" w:rsidRDefault="00D6314B" w:rsidP="00D6314B">
      <w:pPr>
        <w:ind w:firstLine="709"/>
      </w:pPr>
    </w:p>
    <w:p w14:paraId="5EC7642F" w14:textId="77777777" w:rsidR="00345F4C" w:rsidRDefault="00345F4C" w:rsidP="00D6314B">
      <w:pPr>
        <w:ind w:firstLine="709"/>
      </w:pPr>
    </w:p>
    <w:p w14:paraId="70F183B1" w14:textId="77777777" w:rsidR="00D6314B" w:rsidRDefault="00D6314B" w:rsidP="00D6314B">
      <w:pPr>
        <w:ind w:left="170"/>
        <w:jc w:val="center"/>
      </w:pPr>
      <w:r w:rsidRPr="000D315B">
        <w:t>Формула розрахунку кумулятивної середньої ставки UONIA</w:t>
      </w:r>
    </w:p>
    <w:p w14:paraId="7C560A9E" w14:textId="77777777" w:rsidR="00D6314B" w:rsidRPr="000D315B" w:rsidRDefault="00D6314B" w:rsidP="00D6314B">
      <w:pPr>
        <w:ind w:left="170"/>
        <w:jc w:val="center"/>
      </w:pPr>
    </w:p>
    <w:p w14:paraId="0BE25034" w14:textId="77777777" w:rsidR="00D6314B" w:rsidRPr="000D315B" w:rsidRDefault="00D6314B" w:rsidP="00D6314B">
      <w:pPr>
        <w:ind w:left="170"/>
        <w:jc w:val="center"/>
      </w:pPr>
    </w:p>
    <w:p w14:paraId="042B97A9" w14:textId="77777777" w:rsidR="00D6314B" w:rsidRPr="000D315B" w:rsidRDefault="00D6314B" w:rsidP="00D6314B">
      <w:pPr>
        <w:ind w:left="170"/>
        <w:jc w:val="center"/>
      </w:pPr>
      <w:r w:rsidRPr="000D315B">
        <w:t>Кумулятивна середня ставка UONIA за період =</w:t>
      </w:r>
    </w:p>
    <w:p w14:paraId="1765EDC9" w14:textId="77777777" w:rsidR="00D6314B" w:rsidRPr="000D315B" w:rsidRDefault="00D6314B" w:rsidP="00D6314B">
      <w:pPr>
        <w:ind w:left="3430"/>
      </w:pPr>
    </w:p>
    <w:p w14:paraId="3C60051F" w14:textId="6DEB25B5" w:rsidR="00D6314B" w:rsidRPr="000D315B" w:rsidRDefault="00D6314B" w:rsidP="00D6314B">
      <w:pPr>
        <w:ind w:left="316"/>
        <w:rPr>
          <w:iCs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nary>
                <m:naryPr>
                  <m:chr m:val="∏"/>
                  <m:limLoc m:val="undOv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sup>
                <m:e>
                  <m:r>
                    <w:rPr>
                      <w:rFonts w:ascii="Cambria Math" w:eastAsiaTheme="minorEastAsia" w:hAnsi="Cambria Math"/>
                    </w:rPr>
                    <m:t>(1+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365∙100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/>
                </w:rPr>
                <m:t>)-1</m:t>
              </m:r>
            </m:e>
          </m:d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365∙100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, </m:t>
          </m:r>
        </m:oMath>
      </m:oMathPara>
    </w:p>
    <w:p w14:paraId="4AB14C94" w14:textId="77777777" w:rsidR="00D6314B" w:rsidRPr="00C72C6D" w:rsidRDefault="00D6314B" w:rsidP="00AD7F3D">
      <w:pPr>
        <w:ind w:left="318" w:firstLine="567"/>
      </w:pPr>
    </w:p>
    <w:p w14:paraId="69A8326D" w14:textId="6A3A043D" w:rsidR="001B62FF" w:rsidRPr="00070EE3" w:rsidRDefault="00D6314B" w:rsidP="00AD7F3D">
      <w:pPr>
        <w:tabs>
          <w:tab w:val="left" w:pos="567"/>
        </w:tabs>
      </w:pPr>
      <w:r w:rsidRPr="00070EE3">
        <w:t>де</w:t>
      </w:r>
      <w:r w:rsidR="00495A48">
        <w:t xml:space="preserve"> </w:t>
      </w:r>
      <w:r w:rsidR="00495A48">
        <w:tab/>
      </w:r>
      <w:proofErr w:type="spellStart"/>
      <w:r w:rsidR="001B62FF" w:rsidRPr="00070EE3">
        <w:rPr>
          <w:lang w:val="en-US"/>
        </w:rPr>
        <w:t>i</w:t>
      </w:r>
      <w:proofErr w:type="spellEnd"/>
      <w:r w:rsidR="001B62FF" w:rsidRPr="00070EE3">
        <w:t xml:space="preserve"> – </w:t>
      </w:r>
      <w:r w:rsidR="00EB26D1" w:rsidRPr="00070EE3">
        <w:t xml:space="preserve">порядковий номер робочого дня </w:t>
      </w:r>
      <w:r w:rsidR="001B62FF" w:rsidRPr="00070EE3">
        <w:t>розрахункового періоду;</w:t>
      </w:r>
    </w:p>
    <w:p w14:paraId="74A36293" w14:textId="03E22556" w:rsidR="00D6314B" w:rsidRPr="00070EE3" w:rsidRDefault="00D6314B" w:rsidP="00AD7F3D">
      <w:pPr>
        <w:ind w:firstLine="567"/>
      </w:pPr>
      <w:proofErr w:type="spellStart"/>
      <w:proofErr w:type="gramStart"/>
      <w:r w:rsidRPr="00070EE3">
        <w:rPr>
          <w:lang w:val="en-US"/>
        </w:rPr>
        <w:t>d</w:t>
      </w:r>
      <w:r w:rsidRPr="00070EE3">
        <w:rPr>
          <w:vertAlign w:val="subscript"/>
          <w:lang w:val="en-US"/>
        </w:rPr>
        <w:t>b</w:t>
      </w:r>
      <w:proofErr w:type="spellEnd"/>
      <w:proofErr w:type="gramEnd"/>
      <w:r w:rsidRPr="00070EE3">
        <w:t xml:space="preserve"> </w:t>
      </w:r>
      <w:r w:rsidR="001B62FF" w:rsidRPr="00070EE3">
        <w:t>–</w:t>
      </w:r>
      <w:r w:rsidRPr="00070EE3">
        <w:t xml:space="preserve"> кількість робочих днів </w:t>
      </w:r>
      <w:r w:rsidR="00A9411C">
        <w:t>у</w:t>
      </w:r>
      <w:r w:rsidRPr="00070EE3">
        <w:t xml:space="preserve"> розрахунковому періоді (</w:t>
      </w:r>
      <w:r w:rsidR="00EB26D1" w:rsidRPr="00070EE3">
        <w:t>день здійснення</w:t>
      </w:r>
      <w:r w:rsidRPr="00070EE3">
        <w:t xml:space="preserve"> розрахунку не включається);</w:t>
      </w:r>
    </w:p>
    <w:p w14:paraId="3B099F95" w14:textId="5DA652A7" w:rsidR="00D6314B" w:rsidRPr="00070EE3" w:rsidRDefault="00D6314B" w:rsidP="00AD7F3D">
      <w:pPr>
        <w:ind w:firstLine="567"/>
      </w:pPr>
      <w:proofErr w:type="spellStart"/>
      <w:proofErr w:type="gramStart"/>
      <w:r w:rsidRPr="00070EE3">
        <w:rPr>
          <w:lang w:val="en-US"/>
        </w:rPr>
        <w:t>r</w:t>
      </w:r>
      <w:r w:rsidRPr="00070EE3">
        <w:rPr>
          <w:vertAlign w:val="subscript"/>
          <w:lang w:val="en-US"/>
        </w:rPr>
        <w:t>i</w:t>
      </w:r>
      <w:proofErr w:type="spellEnd"/>
      <w:proofErr w:type="gramEnd"/>
      <w:r w:rsidRPr="00070EE3">
        <w:t xml:space="preserve"> </w:t>
      </w:r>
      <w:r w:rsidR="001B62FF" w:rsidRPr="00070EE3">
        <w:t>–</w:t>
      </w:r>
      <w:r w:rsidRPr="00070EE3">
        <w:t xml:space="preserve"> значення </w:t>
      </w:r>
      <w:r w:rsidR="006D5142" w:rsidRPr="00070EE3">
        <w:t>UONIA</w:t>
      </w:r>
      <w:r w:rsidRPr="00070EE3">
        <w:t xml:space="preserve">, </w:t>
      </w:r>
      <w:r w:rsidR="00995DB5">
        <w:t xml:space="preserve">розраховане за даними робочого дня </w:t>
      </w:r>
      <w:proofErr w:type="spellStart"/>
      <w:r w:rsidR="00995DB5" w:rsidRPr="00732899">
        <w:rPr>
          <w:i/>
          <w:lang w:val="en-US"/>
        </w:rPr>
        <w:t>i</w:t>
      </w:r>
      <w:proofErr w:type="spellEnd"/>
      <w:r w:rsidRPr="00070EE3">
        <w:t>;</w:t>
      </w:r>
    </w:p>
    <w:p w14:paraId="7B3BEC78" w14:textId="77777777" w:rsidR="00D6314B" w:rsidRPr="00070EE3" w:rsidRDefault="00D6314B" w:rsidP="00AD7F3D">
      <w:pPr>
        <w:ind w:firstLine="567"/>
      </w:pPr>
      <w:proofErr w:type="spellStart"/>
      <w:proofErr w:type="gramStart"/>
      <w:r w:rsidRPr="00070EE3">
        <w:rPr>
          <w:lang w:val="en-US"/>
        </w:rPr>
        <w:t>n</w:t>
      </w:r>
      <w:r w:rsidRPr="00070EE3">
        <w:rPr>
          <w:vertAlign w:val="subscript"/>
          <w:lang w:val="en-US"/>
        </w:rPr>
        <w:t>i</w:t>
      </w:r>
      <w:proofErr w:type="spellEnd"/>
      <w:proofErr w:type="gramEnd"/>
      <w:r w:rsidRPr="00070EE3">
        <w:t xml:space="preserve"> </w:t>
      </w:r>
      <w:r w:rsidR="001B62FF" w:rsidRPr="00070EE3">
        <w:t>–</w:t>
      </w:r>
      <w:r w:rsidRPr="00070EE3">
        <w:t xml:space="preserve"> кількість календарних днів</w:t>
      </w:r>
      <w:r w:rsidR="003B75DF" w:rsidRPr="003B75DF">
        <w:t xml:space="preserve"> між робочим днем </w:t>
      </w:r>
      <w:r w:rsidR="003B75DF" w:rsidRPr="003B75DF">
        <w:rPr>
          <w:i/>
        </w:rPr>
        <w:t>і</w:t>
      </w:r>
      <w:r w:rsidR="003B75DF" w:rsidRPr="003B75DF">
        <w:t xml:space="preserve"> та наступним </w:t>
      </w:r>
      <w:r w:rsidR="003B75DF" w:rsidRPr="00E46366">
        <w:t>робочим днем</w:t>
      </w:r>
      <w:r w:rsidR="00995DB5" w:rsidRPr="00E46366">
        <w:t>,</w:t>
      </w:r>
      <w:r w:rsidR="0070103F" w:rsidRPr="00E46366">
        <w:t xml:space="preserve"> визначена таким чином, щоб сума </w:t>
      </w:r>
      <w:proofErr w:type="spellStart"/>
      <w:r w:rsidR="0070103F" w:rsidRPr="00E46366">
        <w:rPr>
          <w:lang w:val="en-US"/>
        </w:rPr>
        <w:t>n</w:t>
      </w:r>
      <w:r w:rsidR="0070103F" w:rsidRPr="00E46366">
        <w:rPr>
          <w:vertAlign w:val="subscript"/>
          <w:lang w:val="en-US"/>
        </w:rPr>
        <w:t>i</w:t>
      </w:r>
      <w:proofErr w:type="spellEnd"/>
      <w:r w:rsidR="0070103F" w:rsidRPr="00E46366">
        <w:t xml:space="preserve"> для </w:t>
      </w:r>
      <w:r w:rsidR="0070103F" w:rsidRPr="00E46366">
        <w:rPr>
          <w:i/>
        </w:rPr>
        <w:t>і</w:t>
      </w:r>
      <w:r w:rsidR="0070103F" w:rsidRPr="00E46366">
        <w:t xml:space="preserve"> від 1 до </w:t>
      </w:r>
      <w:proofErr w:type="spellStart"/>
      <w:r w:rsidR="0070103F" w:rsidRPr="00E46366">
        <w:rPr>
          <w:lang w:val="en-US"/>
        </w:rPr>
        <w:t>d</w:t>
      </w:r>
      <w:r w:rsidR="0070103F" w:rsidRPr="00E46366">
        <w:rPr>
          <w:vertAlign w:val="subscript"/>
          <w:lang w:val="en-US"/>
        </w:rPr>
        <w:t>b</w:t>
      </w:r>
      <w:proofErr w:type="spellEnd"/>
      <w:r w:rsidR="0070103F" w:rsidRPr="00E46366">
        <w:t xml:space="preserve"> дорівнювала </w:t>
      </w:r>
      <w:r w:rsidR="0070103F" w:rsidRPr="00E46366">
        <w:rPr>
          <w:lang w:val="en-US"/>
        </w:rPr>
        <w:t>d</w:t>
      </w:r>
      <w:r w:rsidR="0070103F" w:rsidRPr="00E46366">
        <w:rPr>
          <w:vertAlign w:val="subscript"/>
          <w:lang w:val="en-US"/>
        </w:rPr>
        <w:t>c</w:t>
      </w:r>
      <w:r w:rsidR="0070103F" w:rsidRPr="00E46366">
        <w:t>;</w:t>
      </w:r>
    </w:p>
    <w:p w14:paraId="44EBB386" w14:textId="3C7E42B0" w:rsidR="00757E09" w:rsidRPr="00732899" w:rsidRDefault="00757E09" w:rsidP="00AD7F3D">
      <w:pPr>
        <w:ind w:firstLine="567"/>
        <w:rPr>
          <w:lang w:val="ru-RU"/>
        </w:rPr>
      </w:pPr>
      <w:proofErr w:type="gramStart"/>
      <w:r w:rsidRPr="00070EE3">
        <w:rPr>
          <w:lang w:val="en-US"/>
        </w:rPr>
        <w:t>d</w:t>
      </w:r>
      <w:r w:rsidRPr="00070EE3">
        <w:rPr>
          <w:vertAlign w:val="subscript"/>
          <w:lang w:val="en-US"/>
        </w:rPr>
        <w:t>c</w:t>
      </w:r>
      <w:proofErr w:type="gramEnd"/>
      <w:r w:rsidRPr="00070EE3">
        <w:t xml:space="preserve"> – кількість календарних днів </w:t>
      </w:r>
      <w:r w:rsidR="00A9411C">
        <w:t>у</w:t>
      </w:r>
      <w:r w:rsidRPr="00070EE3">
        <w:t xml:space="preserve"> розрахунковому періоді (</w:t>
      </w:r>
      <w:r w:rsidR="003B75DF">
        <w:t>день</w:t>
      </w:r>
      <w:r w:rsidRPr="00070EE3">
        <w:t xml:space="preserve"> розрахунку не включається)</w:t>
      </w:r>
      <w:r w:rsidR="002739B2">
        <w:t>.</w:t>
      </w:r>
      <w:r w:rsidR="0070103F" w:rsidRPr="0070103F">
        <w:t xml:space="preserve"> </w:t>
      </w:r>
    </w:p>
    <w:p w14:paraId="2153064E" w14:textId="77777777" w:rsidR="000A78A8" w:rsidRPr="000D315B" w:rsidRDefault="000A78A8" w:rsidP="00D6314B">
      <w:pPr>
        <w:ind w:left="316"/>
      </w:pPr>
    </w:p>
    <w:p w14:paraId="2B1B4212" w14:textId="77777777" w:rsidR="000A101F" w:rsidRDefault="000A101F" w:rsidP="00FA508E">
      <w:pPr>
        <w:jc w:val="left"/>
        <w:rPr>
          <w:noProof/>
        </w:rPr>
        <w:sectPr w:rsidR="000A101F" w:rsidSect="00495A48"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65CF6F73" w14:textId="77777777" w:rsidR="0069426E" w:rsidRPr="00036022" w:rsidRDefault="0069426E" w:rsidP="0069426E">
      <w:pPr>
        <w:ind w:left="6379"/>
      </w:pPr>
      <w:r>
        <w:lastRenderedPageBreak/>
        <w:t>Додаток 3</w:t>
      </w:r>
      <w:r w:rsidRPr="00036022">
        <w:t xml:space="preserve"> </w:t>
      </w:r>
    </w:p>
    <w:p w14:paraId="61F381B7" w14:textId="77777777" w:rsidR="0069426E" w:rsidRPr="00036022" w:rsidRDefault="0069426E" w:rsidP="0069426E">
      <w:pPr>
        <w:ind w:left="6379"/>
      </w:pPr>
      <w:r w:rsidRPr="00036022">
        <w:t>до Порядку розрахунку і оприлюднення похідних показників UONIA</w:t>
      </w:r>
    </w:p>
    <w:p w14:paraId="55C43BBF" w14:textId="53240A09" w:rsidR="0069426E" w:rsidRDefault="0069426E" w:rsidP="0069426E">
      <w:pPr>
        <w:ind w:left="6379"/>
      </w:pPr>
      <w:r w:rsidRPr="00036022">
        <w:t>(</w:t>
      </w:r>
      <w:r>
        <w:t>пункт 8 розділу ІІІ</w:t>
      </w:r>
      <w:r w:rsidRPr="00036022">
        <w:t>)</w:t>
      </w:r>
    </w:p>
    <w:p w14:paraId="28A1DD81" w14:textId="77EBBEDF" w:rsidR="008A23B3" w:rsidRDefault="008A23B3" w:rsidP="0069426E">
      <w:pPr>
        <w:ind w:left="6379"/>
      </w:pPr>
    </w:p>
    <w:p w14:paraId="2A06744A" w14:textId="77777777" w:rsidR="008A23B3" w:rsidRPr="00036022" w:rsidRDefault="008A23B3" w:rsidP="0069426E">
      <w:pPr>
        <w:ind w:left="6379"/>
      </w:pPr>
    </w:p>
    <w:p w14:paraId="091174CE" w14:textId="77777777" w:rsidR="008A23B3" w:rsidRDefault="008A23B3" w:rsidP="008A23B3">
      <w:pPr>
        <w:ind w:left="170"/>
        <w:jc w:val="center"/>
      </w:pPr>
      <w:r w:rsidRPr="000D315B">
        <w:t>Формула розрахунку кумулятивної середньої ставки UONIA</w:t>
      </w:r>
      <w:r>
        <w:t xml:space="preserve"> </w:t>
      </w:r>
    </w:p>
    <w:p w14:paraId="32BD6C1A" w14:textId="2FFC9CA0" w:rsidR="008A23B3" w:rsidRDefault="008A23B3" w:rsidP="008A23B3">
      <w:pPr>
        <w:ind w:left="170"/>
        <w:jc w:val="center"/>
      </w:pPr>
      <w:r w:rsidRPr="000D315B">
        <w:t>за період</w:t>
      </w:r>
      <w:r>
        <w:t xml:space="preserve"> між датами </w:t>
      </w:r>
      <w:r w:rsidRPr="008A23B3">
        <w:t>х і у</w:t>
      </w:r>
    </w:p>
    <w:p w14:paraId="6434E84C" w14:textId="77777777" w:rsidR="0069426E" w:rsidRDefault="0069426E" w:rsidP="00FA508E">
      <w:pPr>
        <w:jc w:val="left"/>
        <w:rPr>
          <w:noProof/>
        </w:rPr>
      </w:pPr>
    </w:p>
    <w:p w14:paraId="5CC0AA9D" w14:textId="77777777" w:rsidR="0069426E" w:rsidRDefault="0069426E" w:rsidP="00FA508E">
      <w:pPr>
        <w:jc w:val="left"/>
        <w:rPr>
          <w:noProof/>
        </w:rPr>
      </w:pPr>
    </w:p>
    <w:p w14:paraId="665E1E4D" w14:textId="77777777" w:rsidR="00274B33" w:rsidRPr="000D315B" w:rsidRDefault="00274B33" w:rsidP="00274B33">
      <w:pPr>
        <w:ind w:left="170"/>
        <w:jc w:val="center"/>
      </w:pPr>
      <w:r w:rsidRPr="000D315B">
        <w:t>Кумулятивна середня ставка UONIA за період</w:t>
      </w:r>
      <w:r>
        <w:t xml:space="preserve"> між датами </w:t>
      </w:r>
      <w:r w:rsidRPr="007A7975">
        <w:rPr>
          <w:i/>
        </w:rPr>
        <w:t>х</w:t>
      </w:r>
      <w:r>
        <w:t xml:space="preserve"> і </w:t>
      </w:r>
      <w:r w:rsidRPr="007A7975">
        <w:rPr>
          <w:i/>
        </w:rPr>
        <w:t>у</w:t>
      </w:r>
      <w:r w:rsidRPr="000D315B">
        <w:t xml:space="preserve"> =</w:t>
      </w:r>
    </w:p>
    <w:p w14:paraId="43BD64F0" w14:textId="77777777" w:rsidR="00274B33" w:rsidRPr="000D315B" w:rsidRDefault="00274B33" w:rsidP="00274B33">
      <w:pPr>
        <w:ind w:left="3430"/>
      </w:pPr>
    </w:p>
    <w:p w14:paraId="53D6136B" w14:textId="7CC84862" w:rsidR="00274B33" w:rsidRPr="00AD7F3D" w:rsidRDefault="00274B33" w:rsidP="00274B33">
      <w:pPr>
        <w:ind w:left="316"/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Кумулятивний індекс 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UONIA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Кумулятивний індекс UONIA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365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, </m:t>
          </m:r>
        </m:oMath>
      </m:oMathPara>
    </w:p>
    <w:p w14:paraId="16F1F1E9" w14:textId="77777777" w:rsidR="00345F4C" w:rsidRDefault="00345F4C" w:rsidP="00345F4C">
      <w:pPr>
        <w:ind w:firstLine="567"/>
      </w:pPr>
    </w:p>
    <w:p w14:paraId="4AE39610" w14:textId="3FADFF2B" w:rsidR="00274B33" w:rsidRPr="00070EE3" w:rsidRDefault="00274B33" w:rsidP="00AD7F3D">
      <w:pPr>
        <w:tabs>
          <w:tab w:val="left" w:pos="567"/>
        </w:tabs>
      </w:pPr>
      <w:r w:rsidRPr="00070EE3">
        <w:t>де</w:t>
      </w:r>
      <w:r w:rsidR="00345F4C">
        <w:t xml:space="preserve"> </w:t>
      </w:r>
      <w:r w:rsidR="00345F4C">
        <w:tab/>
      </w:r>
      <w:r>
        <w:t>х</w:t>
      </w:r>
      <w:r w:rsidRPr="00070EE3">
        <w:t xml:space="preserve"> – </w:t>
      </w:r>
      <w:r>
        <w:t xml:space="preserve">день початку </w:t>
      </w:r>
      <w:r w:rsidRPr="00070EE3">
        <w:t>розрахунково</w:t>
      </w:r>
      <w:r>
        <w:t>го</w:t>
      </w:r>
      <w:r w:rsidRPr="00070EE3">
        <w:t xml:space="preserve"> період</w:t>
      </w:r>
      <w:r>
        <w:t>у</w:t>
      </w:r>
      <w:r w:rsidRPr="00070EE3">
        <w:t>;</w:t>
      </w:r>
    </w:p>
    <w:p w14:paraId="1800CD17" w14:textId="46DF66D6" w:rsidR="00274B33" w:rsidRPr="00070EE3" w:rsidRDefault="00274B33" w:rsidP="00345F4C">
      <w:pPr>
        <w:ind w:firstLine="567"/>
      </w:pPr>
      <w:r>
        <w:t>у</w:t>
      </w:r>
      <w:r w:rsidRPr="00070EE3">
        <w:t xml:space="preserve"> – </w:t>
      </w:r>
      <w:r>
        <w:t xml:space="preserve">день </w:t>
      </w:r>
      <w:r w:rsidR="007A7975">
        <w:t>закінчення</w:t>
      </w:r>
      <w:r>
        <w:t xml:space="preserve"> </w:t>
      </w:r>
      <w:r w:rsidRPr="00070EE3">
        <w:t>розрахунково</w:t>
      </w:r>
      <w:r>
        <w:t>го</w:t>
      </w:r>
      <w:r w:rsidRPr="00070EE3">
        <w:t xml:space="preserve"> період</w:t>
      </w:r>
      <w:r>
        <w:t>у</w:t>
      </w:r>
      <w:r w:rsidR="007A7975">
        <w:t>;</w:t>
      </w:r>
    </w:p>
    <w:p w14:paraId="71C8A6B2" w14:textId="17E77905" w:rsidR="00274B33" w:rsidRPr="00732899" w:rsidRDefault="00274B33" w:rsidP="00345F4C">
      <w:pPr>
        <w:ind w:firstLine="567"/>
        <w:rPr>
          <w:lang w:val="ru-RU"/>
        </w:rPr>
      </w:pPr>
      <w:proofErr w:type="gramStart"/>
      <w:r w:rsidRPr="00070EE3">
        <w:rPr>
          <w:lang w:val="en-US"/>
        </w:rPr>
        <w:t>d</w:t>
      </w:r>
      <w:r w:rsidRPr="00070EE3">
        <w:rPr>
          <w:vertAlign w:val="subscript"/>
          <w:lang w:val="en-US"/>
        </w:rPr>
        <w:t>c</w:t>
      </w:r>
      <w:proofErr w:type="gramEnd"/>
      <w:r w:rsidRPr="00070EE3">
        <w:t xml:space="preserve"> – кількість календарних днів </w:t>
      </w:r>
      <w:r w:rsidR="00345F4C">
        <w:t>у</w:t>
      </w:r>
      <w:r w:rsidRPr="00070EE3">
        <w:t xml:space="preserve"> розрахунковому періоді (</w:t>
      </w:r>
      <w:r>
        <w:t>день</w:t>
      </w:r>
      <w:r w:rsidRPr="00070EE3">
        <w:t xml:space="preserve"> розрахунку не включається)</w:t>
      </w:r>
      <w:r>
        <w:t>.</w:t>
      </w:r>
      <w:r w:rsidRPr="0070103F">
        <w:t xml:space="preserve"> </w:t>
      </w:r>
    </w:p>
    <w:p w14:paraId="39AFF579" w14:textId="77777777" w:rsidR="0069426E" w:rsidRPr="00274B33" w:rsidRDefault="0069426E" w:rsidP="00274B33">
      <w:pPr>
        <w:jc w:val="left"/>
        <w:rPr>
          <w:noProof/>
          <w:lang w:val="ru-RU"/>
        </w:rPr>
      </w:pPr>
    </w:p>
    <w:sectPr w:rsidR="0069426E" w:rsidRPr="00274B33" w:rsidSect="00E50890"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3EA5" w14:textId="77777777" w:rsidR="00B13153" w:rsidRDefault="00B13153" w:rsidP="00E53CCD">
      <w:r>
        <w:separator/>
      </w:r>
    </w:p>
  </w:endnote>
  <w:endnote w:type="continuationSeparator" w:id="0">
    <w:p w14:paraId="395F7BF3" w14:textId="77777777" w:rsidR="00B13153" w:rsidRDefault="00B1315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3068" w14:textId="77777777" w:rsidR="00B13153" w:rsidRDefault="00B13153" w:rsidP="00E53CCD">
      <w:r>
        <w:separator/>
      </w:r>
    </w:p>
  </w:footnote>
  <w:footnote w:type="continuationSeparator" w:id="0">
    <w:p w14:paraId="2E982E55" w14:textId="77777777" w:rsidR="00B13153" w:rsidRDefault="00B1315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37464"/>
      <w:docPartObj>
        <w:docPartGallery w:val="Page Numbers (Top of Page)"/>
        <w:docPartUnique/>
      </w:docPartObj>
    </w:sdtPr>
    <w:sdtEndPr/>
    <w:sdtContent>
      <w:p w14:paraId="1451360C" w14:textId="6F33F5F2" w:rsidR="009E457E" w:rsidRDefault="009E45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1A0">
          <w:rPr>
            <w:noProof/>
          </w:rPr>
          <w:t>2</w:t>
        </w:r>
        <w:r>
          <w:fldChar w:fldCharType="end"/>
        </w:r>
      </w:p>
    </w:sdtContent>
  </w:sdt>
  <w:p w14:paraId="0A933810" w14:textId="77777777" w:rsidR="009E457E" w:rsidRDefault="009E45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D57"/>
    <w:multiLevelType w:val="hybridMultilevel"/>
    <w:tmpl w:val="7AFEE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B3C"/>
    <w:multiLevelType w:val="hybridMultilevel"/>
    <w:tmpl w:val="7A5476B8"/>
    <w:lvl w:ilvl="0" w:tplc="12326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1C73A4"/>
    <w:multiLevelType w:val="hybridMultilevel"/>
    <w:tmpl w:val="CE8A3398"/>
    <w:lvl w:ilvl="0" w:tplc="8430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5CF3"/>
    <w:rsid w:val="00015FDE"/>
    <w:rsid w:val="000275C3"/>
    <w:rsid w:val="0003331E"/>
    <w:rsid w:val="000342A5"/>
    <w:rsid w:val="00037023"/>
    <w:rsid w:val="0003793C"/>
    <w:rsid w:val="000422EA"/>
    <w:rsid w:val="00053106"/>
    <w:rsid w:val="000543C6"/>
    <w:rsid w:val="00056EE3"/>
    <w:rsid w:val="000574CE"/>
    <w:rsid w:val="00057A5C"/>
    <w:rsid w:val="000600A8"/>
    <w:rsid w:val="00062C3E"/>
    <w:rsid w:val="00063480"/>
    <w:rsid w:val="000679F5"/>
    <w:rsid w:val="00070EE3"/>
    <w:rsid w:val="00073931"/>
    <w:rsid w:val="00073C85"/>
    <w:rsid w:val="000740D0"/>
    <w:rsid w:val="0008620E"/>
    <w:rsid w:val="000877C1"/>
    <w:rsid w:val="000A101F"/>
    <w:rsid w:val="000A78A8"/>
    <w:rsid w:val="000B24F4"/>
    <w:rsid w:val="000B2990"/>
    <w:rsid w:val="000B2FC2"/>
    <w:rsid w:val="000B675F"/>
    <w:rsid w:val="000C327A"/>
    <w:rsid w:val="000D05E1"/>
    <w:rsid w:val="000D5EF2"/>
    <w:rsid w:val="000D778F"/>
    <w:rsid w:val="000E0CB3"/>
    <w:rsid w:val="000E5B8C"/>
    <w:rsid w:val="000E5FB3"/>
    <w:rsid w:val="001039CA"/>
    <w:rsid w:val="0012002E"/>
    <w:rsid w:val="001359C4"/>
    <w:rsid w:val="0015395C"/>
    <w:rsid w:val="001553B9"/>
    <w:rsid w:val="001631E2"/>
    <w:rsid w:val="001740C0"/>
    <w:rsid w:val="001742F1"/>
    <w:rsid w:val="00180821"/>
    <w:rsid w:val="00186E77"/>
    <w:rsid w:val="00190E1A"/>
    <w:rsid w:val="00193C11"/>
    <w:rsid w:val="001A0EE5"/>
    <w:rsid w:val="001A16FA"/>
    <w:rsid w:val="001A4CB9"/>
    <w:rsid w:val="001A6795"/>
    <w:rsid w:val="001B62FF"/>
    <w:rsid w:val="001C206C"/>
    <w:rsid w:val="001C5904"/>
    <w:rsid w:val="001D163F"/>
    <w:rsid w:val="001D4193"/>
    <w:rsid w:val="001D487A"/>
    <w:rsid w:val="001F6B2D"/>
    <w:rsid w:val="00200CDB"/>
    <w:rsid w:val="0022003C"/>
    <w:rsid w:val="002238D1"/>
    <w:rsid w:val="00225B0C"/>
    <w:rsid w:val="0023123D"/>
    <w:rsid w:val="00231621"/>
    <w:rsid w:val="002409AC"/>
    <w:rsid w:val="00241373"/>
    <w:rsid w:val="002432E9"/>
    <w:rsid w:val="00253BF9"/>
    <w:rsid w:val="00261974"/>
    <w:rsid w:val="00264983"/>
    <w:rsid w:val="00266678"/>
    <w:rsid w:val="002739B2"/>
    <w:rsid w:val="00274B33"/>
    <w:rsid w:val="00276988"/>
    <w:rsid w:val="00280DCC"/>
    <w:rsid w:val="00285DDA"/>
    <w:rsid w:val="00290F65"/>
    <w:rsid w:val="002A5281"/>
    <w:rsid w:val="002B351E"/>
    <w:rsid w:val="002B3F71"/>
    <w:rsid w:val="002B4079"/>
    <w:rsid w:val="002B582B"/>
    <w:rsid w:val="002B66CF"/>
    <w:rsid w:val="002C1FDB"/>
    <w:rsid w:val="002C2894"/>
    <w:rsid w:val="002D1790"/>
    <w:rsid w:val="002D48B8"/>
    <w:rsid w:val="002E3205"/>
    <w:rsid w:val="002E63DA"/>
    <w:rsid w:val="002F00E9"/>
    <w:rsid w:val="002F0AF9"/>
    <w:rsid w:val="002F48EF"/>
    <w:rsid w:val="00314325"/>
    <w:rsid w:val="00340D07"/>
    <w:rsid w:val="00340F3E"/>
    <w:rsid w:val="00342C04"/>
    <w:rsid w:val="003431A6"/>
    <w:rsid w:val="00345982"/>
    <w:rsid w:val="00345F4C"/>
    <w:rsid w:val="00347783"/>
    <w:rsid w:val="00356E34"/>
    <w:rsid w:val="00357676"/>
    <w:rsid w:val="003616CF"/>
    <w:rsid w:val="00361AB8"/>
    <w:rsid w:val="00363171"/>
    <w:rsid w:val="00371EA9"/>
    <w:rsid w:val="0038385E"/>
    <w:rsid w:val="00384F65"/>
    <w:rsid w:val="00391EAF"/>
    <w:rsid w:val="0039725C"/>
    <w:rsid w:val="003A6FA8"/>
    <w:rsid w:val="003A751F"/>
    <w:rsid w:val="003B75DF"/>
    <w:rsid w:val="003C1160"/>
    <w:rsid w:val="003C3282"/>
    <w:rsid w:val="003C3985"/>
    <w:rsid w:val="003D5A3E"/>
    <w:rsid w:val="003E5B56"/>
    <w:rsid w:val="003F0441"/>
    <w:rsid w:val="003F28B5"/>
    <w:rsid w:val="003F7093"/>
    <w:rsid w:val="00401EDB"/>
    <w:rsid w:val="00404C93"/>
    <w:rsid w:val="00407877"/>
    <w:rsid w:val="004130B9"/>
    <w:rsid w:val="004222C8"/>
    <w:rsid w:val="00423068"/>
    <w:rsid w:val="00423A43"/>
    <w:rsid w:val="0042499E"/>
    <w:rsid w:val="00425E0A"/>
    <w:rsid w:val="00432E17"/>
    <w:rsid w:val="004341C2"/>
    <w:rsid w:val="00435ACB"/>
    <w:rsid w:val="004419E9"/>
    <w:rsid w:val="0044454E"/>
    <w:rsid w:val="00445DA2"/>
    <w:rsid w:val="00446FA0"/>
    <w:rsid w:val="00455B45"/>
    <w:rsid w:val="00455E7E"/>
    <w:rsid w:val="00460BA2"/>
    <w:rsid w:val="00470271"/>
    <w:rsid w:val="00473CD9"/>
    <w:rsid w:val="00487BC2"/>
    <w:rsid w:val="00490444"/>
    <w:rsid w:val="00495A48"/>
    <w:rsid w:val="004A1CFC"/>
    <w:rsid w:val="004A7F75"/>
    <w:rsid w:val="004B1FE9"/>
    <w:rsid w:val="004B5574"/>
    <w:rsid w:val="004C0CCD"/>
    <w:rsid w:val="004C3F54"/>
    <w:rsid w:val="004D106D"/>
    <w:rsid w:val="004E22E2"/>
    <w:rsid w:val="004F2BC6"/>
    <w:rsid w:val="0050563F"/>
    <w:rsid w:val="00505B10"/>
    <w:rsid w:val="00510B1A"/>
    <w:rsid w:val="005145ED"/>
    <w:rsid w:val="0051774A"/>
    <w:rsid w:val="0051787B"/>
    <w:rsid w:val="00523C13"/>
    <w:rsid w:val="00523F5C"/>
    <w:rsid w:val="005257C2"/>
    <w:rsid w:val="0053037A"/>
    <w:rsid w:val="00532633"/>
    <w:rsid w:val="005403F1"/>
    <w:rsid w:val="00542533"/>
    <w:rsid w:val="005538D2"/>
    <w:rsid w:val="005621C8"/>
    <w:rsid w:val="005624B6"/>
    <w:rsid w:val="00563A7C"/>
    <w:rsid w:val="00563B5B"/>
    <w:rsid w:val="00571CEE"/>
    <w:rsid w:val="0057237F"/>
    <w:rsid w:val="00573F2B"/>
    <w:rsid w:val="00577402"/>
    <w:rsid w:val="00597AB6"/>
    <w:rsid w:val="005A0F4B"/>
    <w:rsid w:val="005A1D3C"/>
    <w:rsid w:val="005A2D93"/>
    <w:rsid w:val="005A3F34"/>
    <w:rsid w:val="005A5063"/>
    <w:rsid w:val="005B2D03"/>
    <w:rsid w:val="005C5CBF"/>
    <w:rsid w:val="005D45F5"/>
    <w:rsid w:val="005E3FA8"/>
    <w:rsid w:val="005E6C19"/>
    <w:rsid w:val="005F4CB4"/>
    <w:rsid w:val="005F72BF"/>
    <w:rsid w:val="00612EFD"/>
    <w:rsid w:val="006215C8"/>
    <w:rsid w:val="00624863"/>
    <w:rsid w:val="00640612"/>
    <w:rsid w:val="0064227D"/>
    <w:rsid w:val="00647BE8"/>
    <w:rsid w:val="0065179F"/>
    <w:rsid w:val="00655A98"/>
    <w:rsid w:val="00664A93"/>
    <w:rsid w:val="00670C95"/>
    <w:rsid w:val="006748AA"/>
    <w:rsid w:val="006754CA"/>
    <w:rsid w:val="00675CE5"/>
    <w:rsid w:val="00683078"/>
    <w:rsid w:val="00686B35"/>
    <w:rsid w:val="006925CE"/>
    <w:rsid w:val="00692C8C"/>
    <w:rsid w:val="0069426E"/>
    <w:rsid w:val="006950F9"/>
    <w:rsid w:val="006A1B37"/>
    <w:rsid w:val="006A60D4"/>
    <w:rsid w:val="006B0ECA"/>
    <w:rsid w:val="006B2748"/>
    <w:rsid w:val="006B465F"/>
    <w:rsid w:val="006B7EB6"/>
    <w:rsid w:val="006C0F22"/>
    <w:rsid w:val="006C13B1"/>
    <w:rsid w:val="006C4176"/>
    <w:rsid w:val="006C66EF"/>
    <w:rsid w:val="006D2617"/>
    <w:rsid w:val="006D2D57"/>
    <w:rsid w:val="006D4908"/>
    <w:rsid w:val="006D5142"/>
    <w:rsid w:val="006F06FF"/>
    <w:rsid w:val="006F61A9"/>
    <w:rsid w:val="00700AA3"/>
    <w:rsid w:val="0070103F"/>
    <w:rsid w:val="0070610A"/>
    <w:rsid w:val="00710957"/>
    <w:rsid w:val="0071789F"/>
    <w:rsid w:val="00730088"/>
    <w:rsid w:val="00732899"/>
    <w:rsid w:val="00735151"/>
    <w:rsid w:val="00744518"/>
    <w:rsid w:val="007446A6"/>
    <w:rsid w:val="00751BA7"/>
    <w:rsid w:val="00757E09"/>
    <w:rsid w:val="00777D50"/>
    <w:rsid w:val="0078127A"/>
    <w:rsid w:val="00783AF2"/>
    <w:rsid w:val="007A1752"/>
    <w:rsid w:val="007A6609"/>
    <w:rsid w:val="007A7975"/>
    <w:rsid w:val="007A79BD"/>
    <w:rsid w:val="007A7FDF"/>
    <w:rsid w:val="007C2CED"/>
    <w:rsid w:val="007D1C2C"/>
    <w:rsid w:val="008020FB"/>
    <w:rsid w:val="00802988"/>
    <w:rsid w:val="008244E7"/>
    <w:rsid w:val="00851BF2"/>
    <w:rsid w:val="0085364B"/>
    <w:rsid w:val="008538C8"/>
    <w:rsid w:val="00853BE7"/>
    <w:rsid w:val="00864994"/>
    <w:rsid w:val="00866993"/>
    <w:rsid w:val="00874366"/>
    <w:rsid w:val="008762D8"/>
    <w:rsid w:val="00885961"/>
    <w:rsid w:val="00894D28"/>
    <w:rsid w:val="00897035"/>
    <w:rsid w:val="008A23B3"/>
    <w:rsid w:val="008A43E6"/>
    <w:rsid w:val="008B1A65"/>
    <w:rsid w:val="008B3203"/>
    <w:rsid w:val="008D0443"/>
    <w:rsid w:val="008D10FD"/>
    <w:rsid w:val="008D122F"/>
    <w:rsid w:val="008D5F60"/>
    <w:rsid w:val="008D727F"/>
    <w:rsid w:val="008E2DC5"/>
    <w:rsid w:val="008F0210"/>
    <w:rsid w:val="008F1052"/>
    <w:rsid w:val="008F2600"/>
    <w:rsid w:val="008F5D52"/>
    <w:rsid w:val="008F5FEC"/>
    <w:rsid w:val="008F68C1"/>
    <w:rsid w:val="00902E61"/>
    <w:rsid w:val="00904F17"/>
    <w:rsid w:val="00905D36"/>
    <w:rsid w:val="009077A5"/>
    <w:rsid w:val="00922966"/>
    <w:rsid w:val="00931130"/>
    <w:rsid w:val="00934BFB"/>
    <w:rsid w:val="00937AE3"/>
    <w:rsid w:val="00937D24"/>
    <w:rsid w:val="00940330"/>
    <w:rsid w:val="0094046D"/>
    <w:rsid w:val="00943175"/>
    <w:rsid w:val="009448B2"/>
    <w:rsid w:val="00944E52"/>
    <w:rsid w:val="0095741D"/>
    <w:rsid w:val="00967711"/>
    <w:rsid w:val="0097288F"/>
    <w:rsid w:val="00972A9F"/>
    <w:rsid w:val="009812F4"/>
    <w:rsid w:val="00981DE7"/>
    <w:rsid w:val="0098207E"/>
    <w:rsid w:val="009839BF"/>
    <w:rsid w:val="00985E5D"/>
    <w:rsid w:val="00986957"/>
    <w:rsid w:val="00995DB5"/>
    <w:rsid w:val="009A015B"/>
    <w:rsid w:val="009A30DF"/>
    <w:rsid w:val="009B0AED"/>
    <w:rsid w:val="009B6120"/>
    <w:rsid w:val="009C2F76"/>
    <w:rsid w:val="009C3CDF"/>
    <w:rsid w:val="009E086A"/>
    <w:rsid w:val="009E1A54"/>
    <w:rsid w:val="009E457E"/>
    <w:rsid w:val="009E5BFD"/>
    <w:rsid w:val="009F5312"/>
    <w:rsid w:val="00A01F95"/>
    <w:rsid w:val="00A0594A"/>
    <w:rsid w:val="00A12C47"/>
    <w:rsid w:val="00A15F8E"/>
    <w:rsid w:val="00A20250"/>
    <w:rsid w:val="00A2037B"/>
    <w:rsid w:val="00A23E04"/>
    <w:rsid w:val="00A26EE9"/>
    <w:rsid w:val="00A34BC0"/>
    <w:rsid w:val="00A350E1"/>
    <w:rsid w:val="00A36E44"/>
    <w:rsid w:val="00A37EF6"/>
    <w:rsid w:val="00A50DC0"/>
    <w:rsid w:val="00A542E0"/>
    <w:rsid w:val="00A55858"/>
    <w:rsid w:val="00A64927"/>
    <w:rsid w:val="00A65BE6"/>
    <w:rsid w:val="00A72F06"/>
    <w:rsid w:val="00A730F2"/>
    <w:rsid w:val="00A77FFD"/>
    <w:rsid w:val="00A8106A"/>
    <w:rsid w:val="00A81DCE"/>
    <w:rsid w:val="00A853E6"/>
    <w:rsid w:val="00A90F89"/>
    <w:rsid w:val="00A931A0"/>
    <w:rsid w:val="00A9411C"/>
    <w:rsid w:val="00A975AC"/>
    <w:rsid w:val="00AA5A89"/>
    <w:rsid w:val="00AB0DD2"/>
    <w:rsid w:val="00AB4554"/>
    <w:rsid w:val="00AC47B6"/>
    <w:rsid w:val="00AD0504"/>
    <w:rsid w:val="00AD7F3D"/>
    <w:rsid w:val="00AE2CAF"/>
    <w:rsid w:val="00AF33D9"/>
    <w:rsid w:val="00AF5DAD"/>
    <w:rsid w:val="00B13153"/>
    <w:rsid w:val="00B23E9C"/>
    <w:rsid w:val="00B24175"/>
    <w:rsid w:val="00B25D1B"/>
    <w:rsid w:val="00B332B2"/>
    <w:rsid w:val="00B34CCC"/>
    <w:rsid w:val="00B34FF5"/>
    <w:rsid w:val="00B3541F"/>
    <w:rsid w:val="00B36EC7"/>
    <w:rsid w:val="00B36EDD"/>
    <w:rsid w:val="00B42463"/>
    <w:rsid w:val="00B42A50"/>
    <w:rsid w:val="00B43025"/>
    <w:rsid w:val="00B43175"/>
    <w:rsid w:val="00B4664B"/>
    <w:rsid w:val="00B61D15"/>
    <w:rsid w:val="00B628C5"/>
    <w:rsid w:val="00B71933"/>
    <w:rsid w:val="00B8078D"/>
    <w:rsid w:val="00B80A94"/>
    <w:rsid w:val="00BA2D9A"/>
    <w:rsid w:val="00BA6E02"/>
    <w:rsid w:val="00BC128A"/>
    <w:rsid w:val="00BC41DB"/>
    <w:rsid w:val="00BD12A3"/>
    <w:rsid w:val="00BD237B"/>
    <w:rsid w:val="00BD25A1"/>
    <w:rsid w:val="00BF47B0"/>
    <w:rsid w:val="00BF5224"/>
    <w:rsid w:val="00BF5327"/>
    <w:rsid w:val="00C03727"/>
    <w:rsid w:val="00C21D33"/>
    <w:rsid w:val="00C2788E"/>
    <w:rsid w:val="00C31D04"/>
    <w:rsid w:val="00C32E1D"/>
    <w:rsid w:val="00C33AAA"/>
    <w:rsid w:val="00C33DC8"/>
    <w:rsid w:val="00C33E48"/>
    <w:rsid w:val="00C37498"/>
    <w:rsid w:val="00C4377C"/>
    <w:rsid w:val="00C46F29"/>
    <w:rsid w:val="00C47F0F"/>
    <w:rsid w:val="00C5099B"/>
    <w:rsid w:val="00C51D84"/>
    <w:rsid w:val="00C52506"/>
    <w:rsid w:val="00C55F0E"/>
    <w:rsid w:val="00C7167B"/>
    <w:rsid w:val="00C72C6D"/>
    <w:rsid w:val="00C76354"/>
    <w:rsid w:val="00C76940"/>
    <w:rsid w:val="00C81A92"/>
    <w:rsid w:val="00C82259"/>
    <w:rsid w:val="00C830AC"/>
    <w:rsid w:val="00C94014"/>
    <w:rsid w:val="00CA003A"/>
    <w:rsid w:val="00CA174B"/>
    <w:rsid w:val="00CA2DE6"/>
    <w:rsid w:val="00CB0A99"/>
    <w:rsid w:val="00CC3E16"/>
    <w:rsid w:val="00CD2F2B"/>
    <w:rsid w:val="00CD66EC"/>
    <w:rsid w:val="00CD72AA"/>
    <w:rsid w:val="00CE3B9F"/>
    <w:rsid w:val="00CE7D5C"/>
    <w:rsid w:val="00CF0054"/>
    <w:rsid w:val="00CF271B"/>
    <w:rsid w:val="00CF2C65"/>
    <w:rsid w:val="00CF6758"/>
    <w:rsid w:val="00D00D4F"/>
    <w:rsid w:val="00D0243F"/>
    <w:rsid w:val="00D1087F"/>
    <w:rsid w:val="00D119B7"/>
    <w:rsid w:val="00D1605E"/>
    <w:rsid w:val="00D34DCC"/>
    <w:rsid w:val="00D37F10"/>
    <w:rsid w:val="00D41D76"/>
    <w:rsid w:val="00D50331"/>
    <w:rsid w:val="00D50D7A"/>
    <w:rsid w:val="00D52FD3"/>
    <w:rsid w:val="00D5765A"/>
    <w:rsid w:val="00D6042E"/>
    <w:rsid w:val="00D6314B"/>
    <w:rsid w:val="00D700D8"/>
    <w:rsid w:val="00D71EFC"/>
    <w:rsid w:val="00D73D54"/>
    <w:rsid w:val="00D75789"/>
    <w:rsid w:val="00D9495C"/>
    <w:rsid w:val="00DA0A82"/>
    <w:rsid w:val="00DC1E60"/>
    <w:rsid w:val="00DD1AC3"/>
    <w:rsid w:val="00DD60CC"/>
    <w:rsid w:val="00DD7606"/>
    <w:rsid w:val="00DE1DD3"/>
    <w:rsid w:val="00DF1F31"/>
    <w:rsid w:val="00DF771C"/>
    <w:rsid w:val="00DF7844"/>
    <w:rsid w:val="00E10AE2"/>
    <w:rsid w:val="00E11C68"/>
    <w:rsid w:val="00E13BC3"/>
    <w:rsid w:val="00E21875"/>
    <w:rsid w:val="00E25407"/>
    <w:rsid w:val="00E32599"/>
    <w:rsid w:val="00E33B0E"/>
    <w:rsid w:val="00E35A91"/>
    <w:rsid w:val="00E415F9"/>
    <w:rsid w:val="00E417AB"/>
    <w:rsid w:val="00E41F7F"/>
    <w:rsid w:val="00E446A6"/>
    <w:rsid w:val="00E46366"/>
    <w:rsid w:val="00E53CB5"/>
    <w:rsid w:val="00E53CCD"/>
    <w:rsid w:val="00E55F33"/>
    <w:rsid w:val="00E61617"/>
    <w:rsid w:val="00E62786"/>
    <w:rsid w:val="00E670CF"/>
    <w:rsid w:val="00E71855"/>
    <w:rsid w:val="00E719A9"/>
    <w:rsid w:val="00E86119"/>
    <w:rsid w:val="00E92776"/>
    <w:rsid w:val="00E92882"/>
    <w:rsid w:val="00E94E17"/>
    <w:rsid w:val="00EA1DE4"/>
    <w:rsid w:val="00EA263E"/>
    <w:rsid w:val="00EA60EA"/>
    <w:rsid w:val="00EA7DA5"/>
    <w:rsid w:val="00EB0C4F"/>
    <w:rsid w:val="00EB26D1"/>
    <w:rsid w:val="00EB289A"/>
    <w:rsid w:val="00EB29BF"/>
    <w:rsid w:val="00EB3662"/>
    <w:rsid w:val="00EC358D"/>
    <w:rsid w:val="00ED224C"/>
    <w:rsid w:val="00ED4119"/>
    <w:rsid w:val="00EE3690"/>
    <w:rsid w:val="00EF3001"/>
    <w:rsid w:val="00F003D3"/>
    <w:rsid w:val="00F008AB"/>
    <w:rsid w:val="00F036BD"/>
    <w:rsid w:val="00F03E32"/>
    <w:rsid w:val="00F23B90"/>
    <w:rsid w:val="00F27462"/>
    <w:rsid w:val="00F42E75"/>
    <w:rsid w:val="00F5163F"/>
    <w:rsid w:val="00F517FA"/>
    <w:rsid w:val="00F52D16"/>
    <w:rsid w:val="00F62D67"/>
    <w:rsid w:val="00F63BD9"/>
    <w:rsid w:val="00F64762"/>
    <w:rsid w:val="00F6694C"/>
    <w:rsid w:val="00F66EEA"/>
    <w:rsid w:val="00F700A0"/>
    <w:rsid w:val="00F704FE"/>
    <w:rsid w:val="00F75588"/>
    <w:rsid w:val="00F8145F"/>
    <w:rsid w:val="00F8349A"/>
    <w:rsid w:val="00F835E0"/>
    <w:rsid w:val="00F90A6C"/>
    <w:rsid w:val="00F9283D"/>
    <w:rsid w:val="00F92AB8"/>
    <w:rsid w:val="00F9325C"/>
    <w:rsid w:val="00F96F18"/>
    <w:rsid w:val="00FA508E"/>
    <w:rsid w:val="00FA5320"/>
    <w:rsid w:val="00FA5ACE"/>
    <w:rsid w:val="00FA7846"/>
    <w:rsid w:val="00FB04D3"/>
    <w:rsid w:val="00FC26E5"/>
    <w:rsid w:val="00FD09C7"/>
    <w:rsid w:val="00FD19F1"/>
    <w:rsid w:val="00FD370F"/>
    <w:rsid w:val="00FD72DB"/>
    <w:rsid w:val="00FE0B4F"/>
    <w:rsid w:val="00FE0B90"/>
    <w:rsid w:val="00FF1D5C"/>
    <w:rsid w:val="00FF2D33"/>
    <w:rsid w:val="00FF3D62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B3732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C33DC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33DC8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C33DC8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33DC8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C33DC8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9">
    <w:name w:val="Hyperlink"/>
    <w:basedOn w:val="a0"/>
    <w:uiPriority w:val="99"/>
    <w:unhideWhenUsed/>
    <w:rsid w:val="00037023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6D5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07E29-516F-42DD-8FAC-919F7E97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4302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Єрліна Тетяна Юріївна</cp:lastModifiedBy>
  <cp:revision>4</cp:revision>
  <cp:lastPrinted>2022-08-01T10:06:00Z</cp:lastPrinted>
  <dcterms:created xsi:type="dcterms:W3CDTF">2022-08-04T14:21:00Z</dcterms:created>
  <dcterms:modified xsi:type="dcterms:W3CDTF">2022-08-04T14:25:00Z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