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ЗВІТ</w:t>
      </w:r>
      <w:r>
        <w:rPr>
          <w:rFonts w:ascii="Times New Roman" w:hAnsi="Times New Roman" w:cs="Times New Roman"/>
          <w:b/>
          <w:sz w:val="28"/>
          <w:szCs w:val="28"/>
        </w:rPr>
        <w:br w:type="textWrapping"/>
      </w:r>
      <w:r>
        <w:rPr>
          <w:rFonts w:ascii="Times New Roman" w:hAnsi="Times New Roman" w:cs="Times New Roman"/>
          <w:b/>
          <w:sz w:val="28"/>
          <w:szCs w:val="28"/>
        </w:rPr>
        <w:t xml:space="preserve">про базове відстеження результативності регуляторного акта – </w:t>
      </w:r>
      <w:r>
        <w:rPr>
          <w:rFonts w:ascii="Times New Roman" w:hAnsi="Times New Roman" w:cs="Times New Roman"/>
          <w:b/>
          <w:sz w:val="28"/>
          <w:szCs w:val="28"/>
          <w:highlight w:val="white"/>
        </w:rPr>
        <w:t xml:space="preserve">постанови Правління Національного банку України від 02 грудня 2021 року № 128 “Про затвердження </w:t>
      </w:r>
      <w:r>
        <w:rPr>
          <w:rFonts w:ascii="Times New Roman" w:hAnsi="Times New Roman" w:cs="Times New Roman"/>
          <w:b/>
          <w:bCs/>
          <w:sz w:val="28"/>
          <w:szCs w:val="28"/>
          <w:shd w:val="clear" w:color="auto" w:fill="FFFFFF"/>
        </w:rPr>
        <w:t>Положення про порядок нагляду на консолідованій основі за небанківськими фінансовими групами</w:t>
      </w:r>
      <w:r>
        <w:rPr>
          <w:rFonts w:ascii="Times New Roman" w:hAnsi="Times New Roman" w:cs="Times New Roman"/>
          <w:b/>
          <w:sz w:val="28"/>
          <w:szCs w:val="28"/>
          <w:highlight w:val="white"/>
        </w:rPr>
        <w:t>”</w:t>
      </w:r>
      <w:r>
        <w:rPr>
          <w:rFonts w:ascii="Times New Roman" w:hAnsi="Times New Roman" w:cs="Times New Roman"/>
          <w:b/>
          <w:sz w:val="28"/>
          <w:szCs w:val="28"/>
          <w:lang w:val="ru-RU"/>
        </w:rPr>
        <w:t xml:space="preserve"> </w:t>
      </w:r>
    </w:p>
    <w:p>
      <w:pPr>
        <w:spacing w:after="0" w:line="240" w:lineRule="auto"/>
        <w:jc w:val="both"/>
        <w:rPr>
          <w:rFonts w:ascii="Times New Roman" w:hAnsi="Times New Roman" w:cs="Times New Roman"/>
          <w:sz w:val="28"/>
          <w:szCs w:val="28"/>
        </w:rPr>
      </w:pPr>
    </w:p>
    <w:p>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Назва виконавця заходів з відстеження</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Відстеження результативності регуляторного акта здійснюється відповідно до статті 10 Закону України “Про засади державної регуляторної політики у сфері господарської діяльності”.</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Виконавець заходів з відстеження – Національний банк України (Департамент методології регулювання діяльності небанківських фінансових установ). </w:t>
      </w:r>
    </w:p>
    <w:p>
      <w:pPr>
        <w:spacing w:after="0" w:line="240" w:lineRule="auto"/>
        <w:ind w:firstLine="567"/>
        <w:jc w:val="both"/>
        <w:rPr>
          <w:rFonts w:ascii="Times New Roman" w:hAnsi="Times New Roman" w:cs="Times New Roman"/>
          <w:sz w:val="28"/>
          <w:szCs w:val="28"/>
        </w:rPr>
      </w:pPr>
    </w:p>
    <w:p>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Цілі прийняття акта </w:t>
      </w:r>
    </w:p>
    <w:p>
      <w:pPr>
        <w:spacing w:after="0" w:line="240" w:lineRule="auto"/>
        <w:ind w:firstLine="567"/>
        <w:jc w:val="both"/>
        <w:rPr>
          <w:rFonts w:ascii="Times New Roman" w:hAnsi="Times New Roman" w:cs="Times New Roman"/>
          <w:sz w:val="28"/>
          <w:szCs w:val="28"/>
          <w:lang w:eastAsia="zh-CN"/>
        </w:rPr>
      </w:pPr>
      <w:r>
        <w:rPr>
          <w:rFonts w:ascii="Times New Roman" w:hAnsi="Times New Roman" w:cs="Times New Roman"/>
          <w:sz w:val="28"/>
          <w:szCs w:val="28"/>
          <w:highlight w:val="white"/>
        </w:rPr>
        <w:t xml:space="preserve">Постанову Правління Національного банку України від 02 грудня 2021 року № 128 “Про затвердження </w:t>
      </w:r>
      <w:r>
        <w:rPr>
          <w:rFonts w:ascii="Times New Roman" w:hAnsi="Times New Roman" w:cs="Times New Roman"/>
          <w:bCs/>
          <w:sz w:val="28"/>
          <w:szCs w:val="28"/>
          <w:shd w:val="clear" w:color="auto" w:fill="FFFFFF"/>
        </w:rPr>
        <w:t>Положення про порядок нагляду на консолідованій основі за небанківськими фінансовими групами</w:t>
      </w:r>
      <w:r>
        <w:rPr>
          <w:rFonts w:ascii="Times New Roman" w:hAnsi="Times New Roman" w:cs="Times New Roman"/>
          <w:sz w:val="28"/>
          <w:szCs w:val="28"/>
          <w:highlight w:val="white"/>
        </w:rPr>
        <w:t>”</w:t>
      </w:r>
      <w:r>
        <w:rPr>
          <w:rFonts w:ascii="Times New Roman" w:hAnsi="Times New Roman" w:cs="Times New Roman"/>
          <w:sz w:val="28"/>
          <w:szCs w:val="28"/>
        </w:rPr>
        <w:t xml:space="preserve"> (далі – регуляторний акт) прийнято з метою встановлення Національним банком України (далі – Національний банк) регуляторних вимог до порядку визнання, здійснення нагляду та припинення визнання Національним банком небанківських фінансових груп, переважна діяльність в яких здійснюється фінансовими установами, нагляд за якими здійснює Національний банк</w:t>
      </w:r>
      <w:r>
        <w:rPr>
          <w:rFonts w:ascii="Times New Roman" w:hAnsi="Times New Roman" w:cs="Times New Roman"/>
          <w:sz w:val="28"/>
          <w:szCs w:val="28"/>
          <w:lang w:eastAsia="zh-CN"/>
        </w:rPr>
        <w:t xml:space="preserve">. </w:t>
      </w:r>
    </w:p>
    <w:p>
      <w:pPr>
        <w:spacing w:after="0" w:line="240" w:lineRule="auto"/>
        <w:ind w:firstLine="567"/>
        <w:jc w:val="both"/>
        <w:rPr>
          <w:rFonts w:ascii="Times New Roman" w:hAnsi="Times New Roman" w:cs="Times New Roman"/>
          <w:sz w:val="28"/>
          <w:szCs w:val="28"/>
        </w:rPr>
      </w:pPr>
    </w:p>
    <w:p>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Строк виконання заходів з відстеження</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Базове відстеження результативності регуляторного акта розпочато 08 листопада 2022</w:t>
      </w:r>
      <w:r>
        <w:rPr>
          <w:rFonts w:ascii="Times New Roman" w:hAnsi="Times New Roman" w:cs="Times New Roman"/>
          <w:sz w:val="28"/>
          <w:szCs w:val="28"/>
        </w:rPr>
        <w:t xml:space="preserve"> року</w:t>
      </w:r>
      <w:r>
        <w:rPr>
          <w:rFonts w:ascii="Times New Roman" w:hAnsi="Times New Roman" w:cs="Times New Roman"/>
          <w:sz w:val="28"/>
          <w:szCs w:val="28"/>
        </w:rPr>
        <w:t xml:space="preserve"> та закінчено 15 листопада 2022</w:t>
      </w:r>
      <w:r>
        <w:rPr>
          <w:rFonts w:ascii="Times New Roman" w:hAnsi="Times New Roman" w:cs="Times New Roman"/>
          <w:sz w:val="28"/>
          <w:szCs w:val="28"/>
        </w:rPr>
        <w:t xml:space="preserve"> року</w:t>
      </w:r>
      <w:r>
        <w:rPr>
          <w:rFonts w:ascii="Times New Roman" w:hAnsi="Times New Roman" w:cs="Times New Roman"/>
          <w:sz w:val="28"/>
          <w:szCs w:val="28"/>
        </w:rPr>
        <w:t xml:space="preserve">. </w:t>
      </w:r>
    </w:p>
    <w:p>
      <w:pPr>
        <w:spacing w:after="0" w:line="240" w:lineRule="auto"/>
        <w:ind w:firstLine="567"/>
        <w:jc w:val="both"/>
        <w:rPr>
          <w:rFonts w:ascii="Times New Roman" w:hAnsi="Times New Roman" w:cs="Times New Roman"/>
          <w:sz w:val="28"/>
          <w:szCs w:val="28"/>
        </w:rPr>
      </w:pPr>
    </w:p>
    <w:p>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Тип відстеження </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Базове відстеження.</w:t>
      </w:r>
    </w:p>
    <w:p>
      <w:pPr>
        <w:spacing w:after="0" w:line="240" w:lineRule="auto"/>
        <w:ind w:firstLine="567"/>
        <w:jc w:val="both"/>
        <w:rPr>
          <w:rFonts w:ascii="Times New Roman" w:hAnsi="Times New Roman" w:cs="Times New Roman"/>
          <w:sz w:val="28"/>
          <w:szCs w:val="28"/>
        </w:rPr>
      </w:pPr>
    </w:p>
    <w:p>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Методи одержання результатів відстеження</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Аналіз показників результативності регуляторного акта з використанням статистичних даних. </w:t>
      </w:r>
    </w:p>
    <w:p>
      <w:pPr>
        <w:spacing w:after="0" w:line="240" w:lineRule="auto"/>
        <w:ind w:firstLine="567"/>
        <w:jc w:val="both"/>
        <w:rPr>
          <w:rFonts w:ascii="Times New Roman" w:hAnsi="Times New Roman" w:cs="Times New Roman"/>
          <w:sz w:val="28"/>
          <w:szCs w:val="28"/>
        </w:rPr>
      </w:pPr>
    </w:p>
    <w:p>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Дані та припущення, на основі яких відстежувалася результативність, а також способи одержання даних </w:t>
      </w:r>
    </w:p>
    <w:p>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Відстеження результативності регуляторного акта проводилося на підставі набутого практичного досвіду Національного банку та небанківських фінансових установ ‒ учасників ринку небанківських фінансових послуг, відповідальних осіб небанківських фінансових груп, переважна діяльність в яких здійснюється небанківськими фінансовими установами, регулювання і нагляд за якими здійснює Національний банк, та інших суб’єктів, на яких поширюється дія регуляторного акта щодо застосування норм регуляторного акта, з урахуванням статистичних даних щодо </w:t>
      </w:r>
      <w:r>
        <w:rPr>
          <w:rFonts w:ascii="Times New Roman" w:hAnsi="Times New Roman" w:cs="Times New Roman"/>
          <w:sz w:val="28"/>
          <w:szCs w:val="28"/>
          <w:lang w:eastAsia="ru-RU"/>
        </w:rPr>
        <w:t xml:space="preserve">кількості суб’єктів господарювання та/або фізичних осіб, на яких поширюється дія регуляторного акта, визнаних Національним банком небанківських фінансових груп та результатів нагляду на консолідованій основі, а також дій, вжитих відповідальними особами небанківських фінансових груп на виконання вимог регуляторного акта. Також ураховано результати аналізу звернень, запитів, пропозицій, наданих Національному банку учасниками ринку небанківських фінансових послуг. </w:t>
      </w:r>
    </w:p>
    <w:p>
      <w:pPr>
        <w:spacing w:after="0" w:line="240" w:lineRule="auto"/>
        <w:ind w:firstLine="567"/>
        <w:jc w:val="both"/>
        <w:rPr>
          <w:rFonts w:ascii="Times New Roman" w:hAnsi="Times New Roman" w:cs="Times New Roman"/>
          <w:sz w:val="28"/>
          <w:szCs w:val="28"/>
          <w:lang w:eastAsia="ru-RU"/>
        </w:rPr>
      </w:pPr>
    </w:p>
    <w:p>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Кількісні та якісні значення показників результативності акта </w:t>
      </w:r>
    </w:p>
    <w:p>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 xml:space="preserve">1. </w:t>
      </w:r>
      <w:r>
        <w:rPr>
          <w:rFonts w:ascii="Times New Roman" w:hAnsi="Times New Roman" w:cs="Times New Roman"/>
          <w:sz w:val="28"/>
          <w:szCs w:val="28"/>
          <w:u w:val="single"/>
          <w:lang w:eastAsia="ru-RU"/>
        </w:rPr>
        <w:t>Кількість суб’єктів господарювання та/або фізичних осіб, на яких поширюється дія регуляторного акта</w:t>
      </w:r>
      <w:r>
        <w:rPr>
          <w:rFonts w:ascii="Times New Roman" w:hAnsi="Times New Roman" w:cs="Times New Roman"/>
          <w:sz w:val="28"/>
          <w:szCs w:val="28"/>
          <w:u w:val="single"/>
        </w:rPr>
        <w:t xml:space="preserve"> (таблиця 1). </w:t>
      </w:r>
    </w:p>
    <w:p>
      <w:pPr>
        <w:spacing w:after="0" w:line="240" w:lineRule="auto"/>
        <w:ind w:firstLine="567"/>
        <w:jc w:val="both"/>
        <w:rPr>
          <w:rFonts w:ascii="Times New Roman" w:hAnsi="Times New Roman" w:eastAsia="Times New Roman" w:cs="Times New Roman"/>
          <w:color w:val="auto"/>
          <w:sz w:val="28"/>
          <w:szCs w:val="28"/>
          <w:lang w:eastAsia="uk-UA"/>
        </w:rPr>
      </w:pPr>
      <w:r>
        <w:rPr>
          <w:rFonts w:ascii="Times New Roman" w:hAnsi="Times New Roman" w:cs="Times New Roman"/>
          <w:color w:val="auto"/>
          <w:sz w:val="28"/>
          <w:szCs w:val="28"/>
        </w:rPr>
        <w:t>Відповідно до вимог законодавства</w:t>
      </w:r>
      <w:r>
        <w:rPr>
          <w:rFonts w:ascii="Times New Roman" w:hAnsi="Times New Roman" w:cs="Times New Roman"/>
          <w:color w:val="auto"/>
          <w:sz w:val="28"/>
          <w:szCs w:val="28"/>
        </w:rPr>
        <w:t xml:space="preserve"> України</w:t>
      </w:r>
      <w:r>
        <w:rPr>
          <w:rFonts w:ascii="Times New Roman" w:hAnsi="Times New Roman" w:cs="Times New Roman"/>
          <w:color w:val="auto"/>
          <w:sz w:val="28"/>
          <w:szCs w:val="28"/>
        </w:rPr>
        <w:t xml:space="preserve">, зокрема Закону України </w:t>
      </w:r>
      <w:r>
        <w:rPr>
          <w:rFonts w:ascii="Times New Roman" w:hAnsi="Times New Roman" w:cs="Times New Roman"/>
          <w:color w:val="auto"/>
          <w:sz w:val="28"/>
          <w:szCs w:val="28"/>
          <w:highlight w:val="white"/>
        </w:rPr>
        <w:t>“Про фінансові послуги та державне регулювання ринків фінансових послуг”</w:t>
      </w:r>
      <w:r>
        <w:rPr>
          <w:rFonts w:ascii="Times New Roman" w:hAnsi="Times New Roman" w:cs="Times New Roman"/>
          <w:color w:val="auto"/>
          <w:sz w:val="28"/>
          <w:szCs w:val="28"/>
        </w:rPr>
        <w:t xml:space="preserve"> (далі – Закон про фінансові послуги), </w:t>
      </w:r>
      <w:r>
        <w:rPr>
          <w:rFonts w:ascii="Times New Roman" w:hAnsi="Times New Roman" w:eastAsia="Times New Roman" w:cs="Times New Roman"/>
          <w:color w:val="auto"/>
          <w:sz w:val="28"/>
          <w:szCs w:val="28"/>
          <w:lang w:eastAsia="uk-UA"/>
        </w:rPr>
        <w:t xml:space="preserve">небанківська фінансова група – це група юридичних осіб, які мають спільного контролера (крім банку), що складається з двох або більше фінансових установ, </w:t>
      </w:r>
      <w:r>
        <w:rPr>
          <w:rFonts w:ascii="Times New Roman" w:hAnsi="Times New Roman" w:eastAsia="Times New Roman" w:cs="Times New Roman"/>
          <w:color w:val="auto"/>
          <w:sz w:val="28"/>
          <w:szCs w:val="28"/>
          <w:lang w:eastAsia="uk-UA"/>
        </w:rPr>
        <w:t xml:space="preserve">в </w:t>
      </w:r>
      <w:r>
        <w:rPr>
          <w:rFonts w:ascii="Times New Roman" w:hAnsi="Times New Roman" w:eastAsia="Times New Roman" w:cs="Times New Roman"/>
          <w:color w:val="auto"/>
          <w:sz w:val="28"/>
          <w:szCs w:val="28"/>
          <w:lang w:eastAsia="uk-UA"/>
        </w:rPr>
        <w:t xml:space="preserve">якій небанківська фінансова установа (небанківські фінансові установи) здійснює переважну діяльність. </w:t>
      </w:r>
    </w:p>
    <w:p>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Водночас</w:t>
      </w:r>
      <w:r>
        <w:rPr>
          <w:rFonts w:ascii="Times New Roman" w:hAnsi="Times New Roman" w:cs="Times New Roman"/>
          <w:color w:val="auto"/>
          <w:sz w:val="28"/>
          <w:szCs w:val="28"/>
        </w:rPr>
        <w:t xml:space="preserve"> відповідно до</w:t>
      </w:r>
      <w:r>
        <w:rPr>
          <w:rFonts w:ascii="Times New Roman" w:hAnsi="Times New Roman" w:eastAsia="Times New Roman" w:cs="Times New Roman"/>
          <w:color w:val="auto"/>
          <w:sz w:val="24"/>
          <w:szCs w:val="24"/>
          <w:lang w:eastAsia="uk-UA"/>
        </w:rPr>
        <w:t xml:space="preserve"> </w:t>
      </w:r>
      <w:r>
        <w:rPr>
          <w:rFonts w:ascii="Times New Roman" w:hAnsi="Times New Roman" w:cs="Times New Roman"/>
          <w:color w:val="auto"/>
          <w:sz w:val="28"/>
          <w:szCs w:val="28"/>
        </w:rPr>
        <w:t xml:space="preserve">пункту 4 розділу І регуляторного акта вимоги </w:t>
      </w:r>
      <w:r>
        <w:rPr>
          <w:rFonts w:ascii="Times New Roman" w:hAnsi="Times New Roman" w:cs="Times New Roman"/>
          <w:color w:val="auto"/>
          <w:sz w:val="28"/>
          <w:szCs w:val="28"/>
        </w:rPr>
        <w:t>регуляторного акта</w:t>
      </w:r>
      <w:r>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 xml:space="preserve">поширюються на юридичних та фізичних осіб, які мають намір стати контролерами небанківських фінансових груп, контролерів, учасників небанківських фінансових груп, </w:t>
      </w:r>
      <w:r>
        <w:rPr>
          <w:rFonts w:ascii="Times New Roman" w:hAnsi="Times New Roman" w:cs="Times New Roman"/>
          <w:color w:val="auto"/>
          <w:sz w:val="28"/>
          <w:szCs w:val="28"/>
          <w:shd w:val="clear" w:color="auto" w:fill="FFFFFF"/>
        </w:rPr>
        <w:t xml:space="preserve">включаючи </w:t>
      </w:r>
      <w:r>
        <w:rPr>
          <w:rFonts w:ascii="Times New Roman" w:hAnsi="Times New Roman" w:cs="Times New Roman"/>
          <w:color w:val="auto"/>
          <w:sz w:val="28"/>
          <w:szCs w:val="28"/>
          <w:shd w:val="clear" w:color="auto" w:fill="FFFFFF"/>
        </w:rPr>
        <w:t>відповідальних осіб.</w:t>
      </w:r>
      <w:r>
        <w:rPr>
          <w:rFonts w:ascii="Times New Roman" w:hAnsi="Times New Roman" w:cs="Times New Roman"/>
          <w:color w:val="auto"/>
          <w:sz w:val="28"/>
          <w:szCs w:val="28"/>
        </w:rPr>
        <w:t xml:space="preserve"> </w:t>
      </w:r>
    </w:p>
    <w:p>
      <w:pPr>
        <w:spacing w:after="0" w:line="24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Інформація щодо кількості небанківських фінансових установ, регулювання і нагляд за якими </w:t>
      </w:r>
      <w:r>
        <w:rPr>
          <w:rFonts w:ascii="Times New Roman" w:hAnsi="Times New Roman" w:cs="Times New Roman"/>
          <w:color w:val="auto"/>
          <w:sz w:val="28"/>
          <w:szCs w:val="28"/>
        </w:rPr>
        <w:t xml:space="preserve">здійснював </w:t>
      </w:r>
      <w:r>
        <w:rPr>
          <w:rFonts w:ascii="Times New Roman" w:hAnsi="Times New Roman" w:cs="Times New Roman"/>
          <w:color w:val="auto"/>
          <w:sz w:val="28"/>
          <w:szCs w:val="28"/>
        </w:rPr>
        <w:t>Національний банк у 2021</w:t>
      </w:r>
      <w:r>
        <w:rPr>
          <w:rFonts w:ascii="Times New Roman" w:hAnsi="Times New Roman" w:cs="Times New Roman"/>
          <w:color w:val="auto"/>
          <w:sz w:val="28"/>
          <w:szCs w:val="28"/>
        </w:rPr>
        <w:t>‒</w:t>
      </w:r>
      <w:r>
        <w:rPr>
          <w:rFonts w:ascii="Times New Roman" w:hAnsi="Times New Roman" w:cs="Times New Roman"/>
          <w:color w:val="auto"/>
          <w:sz w:val="28"/>
          <w:szCs w:val="28"/>
        </w:rPr>
        <w:t>2022 роках, наведена в таблиці 1.</w:t>
      </w:r>
    </w:p>
    <w:p>
      <w:pPr>
        <w:widowControl w:val="0"/>
        <w:spacing w:after="240" w:line="240" w:lineRule="auto"/>
        <w:ind w:firstLine="709"/>
        <w:jc w:val="right"/>
        <w:rPr>
          <w:rFonts w:ascii="Times New Roman" w:hAnsi="Times New Roman" w:cs="Times New Roman"/>
          <w:sz w:val="28"/>
          <w:szCs w:val="28"/>
          <w:highlight w:val="white"/>
        </w:rPr>
      </w:pPr>
      <w:r>
        <w:rPr>
          <w:rFonts w:ascii="Times New Roman" w:hAnsi="Times New Roman" w:cs="Times New Roman"/>
          <w:sz w:val="28"/>
          <w:szCs w:val="28"/>
          <w:highlight w:val="white"/>
        </w:rPr>
        <w:t>Таблиця 1</w:t>
      </w:r>
    </w:p>
    <w:tbl>
      <w:tblPr>
        <w:tblStyle w:val="11"/>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29"/>
        <w:gridCol w:w="2126"/>
        <w:gridCol w:w="2126"/>
      </w:tblGrid>
      <w:tr>
        <w:trPr>
          <w:cantSplit/>
          <w:tblHeader/>
        </w:trPr>
        <w:tc>
          <w:tcPr>
            <w:tcW w:w="5529" w:type="dxa"/>
            <w:vMerge w:val="restart"/>
          </w:tcPr>
          <w:p>
            <w:pPr>
              <w:widowControl w:val="0"/>
              <w:spacing w:after="0" w:line="240" w:lineRule="auto"/>
              <w:jc w:val="center"/>
              <w:rPr>
                <w:rFonts w:ascii="Times New Roman" w:hAnsi="Times New Roman" w:cs="Times New Roman"/>
                <w:sz w:val="28"/>
                <w:szCs w:val="28"/>
              </w:rPr>
            </w:pPr>
          </w:p>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rPr>
              <w:t>Небанківські фінансові установи</w:t>
            </w:r>
          </w:p>
        </w:tc>
        <w:tc>
          <w:tcPr>
            <w:tcW w:w="4252" w:type="dxa"/>
            <w:gridSpan w:val="2"/>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Кількість небанківських фінансових установ  </w:t>
            </w:r>
          </w:p>
        </w:tc>
      </w:tr>
      <w:tr>
        <w:trPr>
          <w:cantSplit/>
          <w:tblHeader/>
        </w:trPr>
        <w:tc>
          <w:tcPr>
            <w:tcW w:w="5529" w:type="dxa"/>
            <w:vMerge w:val="continue"/>
          </w:tcPr>
          <w:p>
            <w:pPr>
              <w:rPr>
                <w:rFonts w:ascii="Times New Roman" w:hAnsi="Times New Roman" w:cs="Times New Roman"/>
                <w:sz w:val="28"/>
                <w:szCs w:val="28"/>
                <w:highlight w:val="white"/>
              </w:rPr>
            </w:pPr>
          </w:p>
        </w:tc>
        <w:tc>
          <w:tcPr>
            <w:tcW w:w="2126" w:type="dxa"/>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станом на 01.12.2021</w:t>
            </w:r>
          </w:p>
        </w:tc>
        <w:tc>
          <w:tcPr>
            <w:tcW w:w="2126" w:type="dxa"/>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станом на 01.11.2022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trPr>
        <w:tc>
          <w:tcPr>
            <w:tcW w:w="5529" w:type="dxa"/>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1</w:t>
            </w:r>
          </w:p>
        </w:tc>
        <w:tc>
          <w:tcPr>
            <w:tcW w:w="2126" w:type="dxa"/>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2</w:t>
            </w:r>
          </w:p>
        </w:tc>
        <w:tc>
          <w:tcPr>
            <w:tcW w:w="2126" w:type="dxa"/>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trPr>
        <w:tc>
          <w:tcPr>
            <w:tcW w:w="5529" w:type="dxa"/>
          </w:tcPr>
          <w:p>
            <w:pPr>
              <w:widowControl w:val="0"/>
              <w:spacing w:after="0" w:line="240" w:lineRule="auto"/>
              <w:ind w:left="176"/>
              <w:rPr>
                <w:rFonts w:ascii="Times New Roman" w:hAnsi="Times New Roman" w:cs="Times New Roman"/>
                <w:sz w:val="28"/>
                <w:szCs w:val="28"/>
                <w:highlight w:val="white"/>
              </w:rPr>
            </w:pPr>
            <w:r>
              <w:rPr>
                <w:rFonts w:ascii="Times New Roman" w:hAnsi="Times New Roman" w:cs="Times New Roman"/>
                <w:sz w:val="28"/>
                <w:szCs w:val="28"/>
                <w:highlight w:val="white"/>
              </w:rPr>
              <w:t>страхові компанії</w:t>
            </w:r>
          </w:p>
        </w:tc>
        <w:tc>
          <w:tcPr>
            <w:tcW w:w="2126" w:type="dxa"/>
            <w:vAlign w:val="center"/>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156</w:t>
            </w:r>
          </w:p>
        </w:tc>
        <w:tc>
          <w:tcPr>
            <w:tcW w:w="2126" w:type="dxa"/>
            <w:vAlign w:val="center"/>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trPr>
        <w:tc>
          <w:tcPr>
            <w:tcW w:w="5529" w:type="dxa"/>
          </w:tcPr>
          <w:p>
            <w:pPr>
              <w:widowControl w:val="0"/>
              <w:spacing w:after="0" w:line="240" w:lineRule="auto"/>
              <w:ind w:left="176"/>
              <w:rPr>
                <w:rFonts w:ascii="Times New Roman" w:hAnsi="Times New Roman" w:cs="Times New Roman"/>
                <w:sz w:val="28"/>
                <w:szCs w:val="28"/>
                <w:highlight w:val="white"/>
              </w:rPr>
            </w:pPr>
            <w:r>
              <w:rPr>
                <w:rFonts w:ascii="Times New Roman" w:hAnsi="Times New Roman" w:cs="Times New Roman"/>
                <w:sz w:val="28"/>
                <w:szCs w:val="28"/>
              </w:rPr>
              <w:t>кредитні спілки</w:t>
            </w:r>
          </w:p>
        </w:tc>
        <w:tc>
          <w:tcPr>
            <w:tcW w:w="2126" w:type="dxa"/>
            <w:vAlign w:val="center"/>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282</w:t>
            </w:r>
          </w:p>
        </w:tc>
        <w:tc>
          <w:tcPr>
            <w:tcW w:w="2126" w:type="dxa"/>
            <w:vAlign w:val="center"/>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trPr>
        <w:tc>
          <w:tcPr>
            <w:tcW w:w="5529" w:type="dxa"/>
          </w:tcPr>
          <w:p>
            <w:pPr>
              <w:widowControl w:val="0"/>
              <w:spacing w:after="0" w:line="240" w:lineRule="auto"/>
              <w:ind w:left="176"/>
              <w:rPr>
                <w:rFonts w:ascii="Times New Roman" w:hAnsi="Times New Roman" w:cs="Times New Roman"/>
                <w:sz w:val="28"/>
                <w:szCs w:val="28"/>
                <w:highlight w:val="white"/>
              </w:rPr>
            </w:pPr>
            <w:r>
              <w:rPr>
                <w:rFonts w:ascii="Times New Roman" w:hAnsi="Times New Roman" w:cs="Times New Roman"/>
                <w:sz w:val="28"/>
                <w:szCs w:val="28"/>
                <w:highlight w:val="white"/>
              </w:rPr>
              <w:t>ломбарди</w:t>
            </w:r>
          </w:p>
        </w:tc>
        <w:tc>
          <w:tcPr>
            <w:tcW w:w="2126" w:type="dxa"/>
            <w:vAlign w:val="center"/>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269</w:t>
            </w:r>
          </w:p>
        </w:tc>
        <w:tc>
          <w:tcPr>
            <w:tcW w:w="2126" w:type="dxa"/>
            <w:vAlign w:val="center"/>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trPr>
        <w:tc>
          <w:tcPr>
            <w:tcW w:w="5529" w:type="dxa"/>
          </w:tcPr>
          <w:p>
            <w:pPr>
              <w:widowControl w:val="0"/>
              <w:spacing w:after="0" w:line="240" w:lineRule="auto"/>
              <w:ind w:left="176"/>
              <w:rPr>
                <w:rFonts w:ascii="Times New Roman" w:hAnsi="Times New Roman" w:cs="Times New Roman"/>
                <w:sz w:val="28"/>
                <w:szCs w:val="28"/>
                <w:highlight w:val="white"/>
              </w:rPr>
            </w:pPr>
            <w:r>
              <w:rPr>
                <w:rFonts w:ascii="Times New Roman" w:hAnsi="Times New Roman" w:cs="Times New Roman"/>
                <w:sz w:val="28"/>
                <w:szCs w:val="28"/>
                <w:highlight w:val="white"/>
              </w:rPr>
              <w:t>лізингові компанії</w:t>
            </w:r>
          </w:p>
        </w:tc>
        <w:tc>
          <w:tcPr>
            <w:tcW w:w="2126" w:type="dxa"/>
            <w:vAlign w:val="center"/>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140</w:t>
            </w:r>
          </w:p>
        </w:tc>
        <w:tc>
          <w:tcPr>
            <w:tcW w:w="2126" w:type="dxa"/>
            <w:vAlign w:val="center"/>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trPr>
        <w:tc>
          <w:tcPr>
            <w:tcW w:w="5529" w:type="dxa"/>
          </w:tcPr>
          <w:p>
            <w:pPr>
              <w:widowControl w:val="0"/>
              <w:spacing w:after="0" w:line="240" w:lineRule="auto"/>
              <w:ind w:left="176"/>
              <w:rPr>
                <w:rFonts w:ascii="Times New Roman" w:hAnsi="Times New Roman" w:cs="Times New Roman"/>
                <w:sz w:val="28"/>
                <w:szCs w:val="28"/>
                <w:highlight w:val="white"/>
              </w:rPr>
            </w:pPr>
            <w:r>
              <w:rPr>
                <w:rFonts w:ascii="Times New Roman" w:hAnsi="Times New Roman" w:cs="Times New Roman"/>
                <w:sz w:val="28"/>
                <w:szCs w:val="28"/>
                <w:highlight w:val="white"/>
              </w:rPr>
              <w:t>інші фінансові установи</w:t>
            </w:r>
          </w:p>
        </w:tc>
        <w:tc>
          <w:tcPr>
            <w:tcW w:w="2126" w:type="dxa"/>
            <w:vAlign w:val="center"/>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946</w:t>
            </w:r>
          </w:p>
        </w:tc>
        <w:tc>
          <w:tcPr>
            <w:tcW w:w="2126" w:type="dxa"/>
            <w:vAlign w:val="center"/>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839</w:t>
            </w:r>
          </w:p>
        </w:tc>
      </w:tr>
    </w:tbl>
    <w:p>
      <w:pPr>
        <w:spacing w:after="0" w:line="240" w:lineRule="auto"/>
        <w:ind w:firstLine="709"/>
        <w:rPr>
          <w:rFonts w:ascii="Times New Roman" w:hAnsi="Times New Roman" w:cs="Times New Roman"/>
          <w:sz w:val="28"/>
          <w:szCs w:val="28"/>
          <w:highlight w:val="white"/>
        </w:rPr>
      </w:pPr>
    </w:p>
    <w:p>
      <w:pPr>
        <w:spacing w:after="0" w:line="240" w:lineRule="auto"/>
        <w:ind w:firstLine="686"/>
        <w:jc w:val="both"/>
        <w:rPr>
          <w:rFonts w:ascii="Times New Roman" w:hAnsi="Times New Roman" w:cs="Times New Roman"/>
          <w:sz w:val="28"/>
          <w:szCs w:val="28"/>
          <w:u w:val="single"/>
          <w:lang w:val="ru-RU" w:eastAsia="ru-RU"/>
        </w:rPr>
      </w:pPr>
    </w:p>
    <w:p>
      <w:pPr>
        <w:spacing w:after="0" w:line="240" w:lineRule="auto"/>
        <w:ind w:firstLine="686"/>
        <w:jc w:val="both"/>
        <w:rPr>
          <w:rFonts w:ascii="Times New Roman" w:hAnsi="Times New Roman" w:cs="Times New Roman"/>
          <w:sz w:val="28"/>
          <w:szCs w:val="28"/>
          <w:u w:val="single"/>
          <w:lang w:val="ru-RU" w:eastAsia="ru-RU"/>
        </w:rPr>
      </w:pPr>
    </w:p>
    <w:p>
      <w:pPr>
        <w:spacing w:after="0" w:line="240" w:lineRule="auto"/>
        <w:ind w:firstLine="567"/>
        <w:jc w:val="both"/>
        <w:rPr>
          <w:rFonts w:ascii="Times New Roman" w:hAnsi="Times New Roman" w:cs="Times New Roman"/>
          <w:sz w:val="28"/>
          <w:szCs w:val="28"/>
          <w:u w:val="single"/>
          <w:lang w:eastAsia="ru-RU"/>
        </w:rPr>
      </w:pPr>
      <w:r>
        <w:rPr>
          <w:rFonts w:ascii="Times New Roman" w:hAnsi="Times New Roman" w:cs="Times New Roman"/>
          <w:sz w:val="28"/>
          <w:szCs w:val="28"/>
          <w:u w:val="single"/>
          <w:lang w:val="ru-RU" w:eastAsia="ru-RU"/>
        </w:rPr>
        <w:t xml:space="preserve">2. </w:t>
      </w:r>
      <w:r>
        <w:rPr>
          <w:rFonts w:ascii="Times New Roman" w:hAnsi="Times New Roman" w:cs="Times New Roman"/>
          <w:sz w:val="28"/>
          <w:szCs w:val="28"/>
          <w:u w:val="single"/>
          <w:lang w:eastAsia="ru-RU"/>
        </w:rPr>
        <w:t>Кількість визнаних Національним банком небанківських фінансових груп, переважна діяльність в яких здійснюється фінансовими установами, нагляд за якими здійснює Національний банк.</w:t>
      </w:r>
    </w:p>
    <w:p>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Протягом періоду дії регуляторного акта Національний банк визнав 2 небанківські фінансові групи, припинив визнання 2 небанківських фінансових груп. Станом на 01.11.2022 нагляд на консолідованій основі Національний банк здійснював за 23 небанківськими фінансовими групами.</w:t>
      </w:r>
    </w:p>
    <w:p>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Склад учасників зазначених небанківських фінансових груп наведено у таблиці 2.</w:t>
      </w:r>
    </w:p>
    <w:p>
      <w:pPr>
        <w:spacing w:after="240" w:line="240" w:lineRule="auto"/>
        <w:ind w:firstLine="686"/>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Таблиця 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5"/>
        <w:gridCol w:w="1844"/>
      </w:tblGrid>
      <w:tr>
        <w:tc>
          <w:tcPr>
            <w:tcW w:w="7225" w:type="dxa"/>
          </w:tcPr>
          <w:p>
            <w:pPr>
              <w:spacing w:after="0" w:line="240" w:lineRule="auto"/>
              <w:jc w:val="center"/>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Учасники небанківських фінансових груп </w:t>
            </w:r>
            <w:r>
              <w:rPr>
                <w:rFonts w:ascii="Times New Roman" w:hAnsi="Times New Roman" w:eastAsia="Times New Roman" w:cs="Times New Roman"/>
                <w:sz w:val="28"/>
                <w:szCs w:val="28"/>
                <w:highlight w:val="white"/>
              </w:rPr>
              <w:br w:type="textWrapping"/>
            </w:r>
            <w:r>
              <w:rPr>
                <w:rFonts w:ascii="Times New Roman" w:hAnsi="Times New Roman" w:eastAsia="Times New Roman" w:cs="Times New Roman"/>
                <w:sz w:val="28"/>
                <w:szCs w:val="28"/>
                <w:highlight w:val="white"/>
              </w:rPr>
              <w:t>станом на 01.11.2022</w:t>
            </w:r>
          </w:p>
        </w:tc>
        <w:tc>
          <w:tcPr>
            <w:tcW w:w="1844" w:type="dxa"/>
          </w:tcPr>
          <w:p>
            <w:pPr>
              <w:spacing w:after="0" w:line="240" w:lineRule="auto"/>
              <w:jc w:val="center"/>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Кількість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5" w:type="dxa"/>
          </w:tcPr>
          <w:p>
            <w:pPr>
              <w:spacing w:after="0" w:line="240" w:lineRule="auto"/>
              <w:jc w:val="center"/>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1</w:t>
            </w:r>
          </w:p>
        </w:tc>
        <w:tc>
          <w:tcPr>
            <w:tcW w:w="1844" w:type="dxa"/>
          </w:tcPr>
          <w:p>
            <w:pPr>
              <w:spacing w:after="0" w:line="240" w:lineRule="auto"/>
              <w:jc w:val="center"/>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5" w:type="dxa"/>
          </w:tcPr>
          <w:p>
            <w:pPr>
              <w:spacing w:after="0" w:line="240" w:lineRule="auto"/>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Усього, з них:</w:t>
            </w:r>
          </w:p>
        </w:tc>
        <w:tc>
          <w:tcPr>
            <w:tcW w:w="1844" w:type="dxa"/>
          </w:tcPr>
          <w:p>
            <w:pPr>
              <w:spacing w:after="0" w:line="240" w:lineRule="auto"/>
              <w:rPr>
                <w:rFonts w:ascii="Times New Roman" w:hAnsi="Times New Roman" w:eastAsia="Times New Roman" w:cs="Times New Roman"/>
                <w:sz w:val="28"/>
                <w:szCs w:val="28"/>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5" w:type="dxa"/>
          </w:tcPr>
          <w:p>
            <w:pPr>
              <w:pStyle w:val="13"/>
              <w:numPr>
                <w:ilvl w:val="0"/>
                <w:numId w:val="0"/>
              </w:numPr>
              <w:spacing w:after="0" w:line="240" w:lineRule="auto"/>
              <w:ind w:left="720" w:firstLine="0"/>
              <w:contextualSpacing w:val="0"/>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страховики</w:t>
            </w:r>
          </w:p>
        </w:tc>
        <w:tc>
          <w:tcPr>
            <w:tcW w:w="1844" w:type="dxa"/>
            <w:vAlign w:val="center"/>
          </w:tcPr>
          <w:p>
            <w:pPr>
              <w:spacing w:after="0" w:line="240" w:lineRule="auto"/>
              <w:jc w:val="center"/>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5" w:type="dxa"/>
          </w:tcPr>
          <w:p>
            <w:pPr>
              <w:pStyle w:val="13"/>
              <w:numPr>
                <w:ilvl w:val="0"/>
                <w:numId w:val="0"/>
              </w:numPr>
              <w:spacing w:after="0" w:line="240" w:lineRule="auto"/>
              <w:ind w:left="720" w:firstLine="0"/>
              <w:contextualSpacing w:val="0"/>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фінансові установи, регулювання і нагляд за якими здійснює Національний банк </w:t>
            </w:r>
          </w:p>
        </w:tc>
        <w:tc>
          <w:tcPr>
            <w:tcW w:w="1844" w:type="dxa"/>
            <w:vAlign w:val="center"/>
          </w:tcPr>
          <w:p>
            <w:pPr>
              <w:spacing w:after="0" w:line="240" w:lineRule="auto"/>
              <w:jc w:val="center"/>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5" w:type="dxa"/>
          </w:tcPr>
          <w:p>
            <w:pPr>
              <w:pStyle w:val="13"/>
              <w:numPr>
                <w:ilvl w:val="0"/>
                <w:numId w:val="0"/>
              </w:numPr>
              <w:spacing w:after="0" w:line="240" w:lineRule="auto"/>
              <w:ind w:left="720" w:firstLine="0"/>
              <w:contextualSpacing w:val="0"/>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компанії з надання допоміжних послуг</w:t>
            </w:r>
          </w:p>
        </w:tc>
        <w:tc>
          <w:tcPr>
            <w:tcW w:w="1844" w:type="dxa"/>
            <w:vAlign w:val="center"/>
          </w:tcPr>
          <w:p>
            <w:pPr>
              <w:spacing w:after="0" w:line="240" w:lineRule="auto"/>
              <w:jc w:val="center"/>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5" w:type="dxa"/>
          </w:tcPr>
          <w:p>
            <w:pPr>
              <w:pStyle w:val="13"/>
              <w:numPr>
                <w:ilvl w:val="0"/>
                <w:numId w:val="0"/>
              </w:numPr>
              <w:spacing w:after="0" w:line="240" w:lineRule="auto"/>
              <w:ind w:left="720" w:firstLine="0"/>
              <w:contextualSpacing w:val="0"/>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фінансові установи, регулювання і нагляд за якими здійснює НКЦПФР</w:t>
            </w:r>
            <w:r>
              <w:rPr>
                <w:rStyle w:val="10"/>
                <w:rFonts w:ascii="Times New Roman" w:hAnsi="Times New Roman" w:eastAsia="Times New Roman" w:cs="Times New Roman"/>
                <w:sz w:val="28"/>
                <w:szCs w:val="28"/>
                <w:highlight w:val="white"/>
              </w:rPr>
              <w:footnoteReference w:id="0"/>
            </w:r>
          </w:p>
        </w:tc>
        <w:tc>
          <w:tcPr>
            <w:tcW w:w="1844" w:type="dxa"/>
            <w:vAlign w:val="center"/>
          </w:tcPr>
          <w:p>
            <w:pPr>
              <w:spacing w:after="0" w:line="240" w:lineRule="auto"/>
              <w:jc w:val="center"/>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8</w:t>
            </w:r>
          </w:p>
        </w:tc>
      </w:tr>
    </w:tbl>
    <w:p>
      <w:pPr>
        <w:spacing w:after="0" w:line="240" w:lineRule="auto"/>
        <w:ind w:firstLine="709"/>
        <w:jc w:val="both"/>
        <w:rPr>
          <w:rFonts w:ascii="Times New Roman" w:hAnsi="Times New Roman" w:cs="Times New Roman"/>
          <w:color w:val="FF0000"/>
          <w:sz w:val="28"/>
          <w:szCs w:val="28"/>
        </w:rPr>
      </w:pPr>
    </w:p>
    <w:p>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 xml:space="preserve">3. </w:t>
      </w:r>
      <w:r>
        <w:rPr>
          <w:rFonts w:ascii="Times New Roman" w:hAnsi="Times New Roman" w:cs="Times New Roman"/>
          <w:sz w:val="28"/>
          <w:szCs w:val="28"/>
          <w:u w:val="single"/>
          <w:lang w:eastAsia="ru-RU"/>
        </w:rPr>
        <w:t>Кошти і час, що могли бути витрачені суб’єктами господарювання та/або фізичними особами, пов’язаними з виконанням вимог регуляторного акта.</w:t>
      </w:r>
    </w:p>
    <w:p>
      <w:pPr>
        <w:spacing w:after="0" w:line="240" w:lineRule="auto"/>
        <w:ind w:firstLine="567"/>
        <w:jc w:val="both"/>
        <w:rPr>
          <w:rFonts w:ascii="Times New Roman" w:hAnsi="Times New Roman" w:cs="Times New Roman"/>
          <w:b/>
          <w:color w:val="FF0000"/>
          <w:sz w:val="28"/>
          <w:szCs w:val="28"/>
        </w:rPr>
      </w:pPr>
      <w:r>
        <w:rPr>
          <w:rFonts w:ascii="Times New Roman" w:hAnsi="Times New Roman" w:cs="Times New Roman"/>
          <w:color w:val="000000" w:themeColor="text1"/>
          <w:sz w:val="28"/>
          <w:szCs w:val="28"/>
          <w14:textFill>
            <w14:solidFill>
              <w14:schemeClr w14:val="tx1"/>
            </w14:solidFill>
          </w14:textFill>
        </w:rPr>
        <w:t xml:space="preserve">Регуляторний акт визначає вимоги щодо подання до Національного банку інформації та/або документів </w:t>
      </w:r>
      <w:r>
        <w:rPr>
          <w:rFonts w:ascii="Times New Roman" w:hAnsi="Times New Roman" w:cs="Times New Roman"/>
          <w:color w:val="000000" w:themeColor="text1"/>
          <w:sz w:val="28"/>
          <w:szCs w:val="28"/>
          <w:lang w:eastAsia="ru-RU"/>
          <w14:textFill>
            <w14:solidFill>
              <w14:schemeClr w14:val="tx1"/>
            </w14:solidFill>
          </w14:textFill>
        </w:rPr>
        <w:t>відповідальними особами небанківських фінансових груп, контролерами або особами, які мають намір стати контролерами небанківських фінансових груп</w:t>
      </w:r>
      <w:r>
        <w:rPr>
          <w:rFonts w:ascii="Times New Roman" w:hAnsi="Times New Roman" w:cs="Times New Roman"/>
          <w:color w:val="000000" w:themeColor="text1"/>
          <w:sz w:val="28"/>
          <w:szCs w:val="28"/>
          <w14:textFill>
            <w14:solidFill>
              <w14:schemeClr w14:val="tx1"/>
            </w14:solidFill>
          </w14:textFill>
        </w:rPr>
        <w:t xml:space="preserve">. </w:t>
      </w:r>
    </w:p>
    <w:p>
      <w:pPr>
        <w:spacing w:after="0"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Дані про подання відповідальними особами, учасниками, контролерами небанківських фінансових груп або особами, які мають намір стати контролерами, до Національного банку інформації відповідно до вимог регуляторного акта за період з 08.12.2021 до 01.11.2022, наведені у таблиці 3.</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Вбачається, що можливі витрати таких осіб у зв’язку із виконанням вимог регуляторного акта щодо надання Національному банку інформації та/або документів здійснювались в межах кошторисів витрат на господарську діяльність.</w:t>
      </w:r>
      <w:r>
        <w:rPr>
          <w:rFonts w:ascii="Times New Roman" w:hAnsi="Times New Roman" w:cs="Times New Roman"/>
          <w:sz w:val="28"/>
          <w:szCs w:val="28"/>
        </w:rPr>
        <w:br w:type="page"/>
      </w:r>
    </w:p>
    <w:p>
      <w:pPr>
        <w:spacing w:after="120" w:line="240" w:lineRule="auto"/>
        <w:ind w:firstLine="709"/>
        <w:jc w:val="right"/>
        <w:rPr>
          <w:rFonts w:ascii="Times New Roman" w:hAnsi="Times New Roman" w:cs="Times New Roman"/>
          <w:sz w:val="28"/>
          <w:szCs w:val="28"/>
          <w:highlight w:val="white"/>
        </w:rPr>
      </w:pPr>
      <w:r>
        <w:rPr>
          <w:rFonts w:ascii="Times New Roman" w:hAnsi="Times New Roman" w:cs="Times New Roman"/>
          <w:sz w:val="28"/>
          <w:szCs w:val="28"/>
          <w:highlight w:val="white"/>
        </w:rPr>
        <w:t>Таблиця 3</w:t>
      </w:r>
    </w:p>
    <w:p>
      <w:pPr>
        <w:spacing w:after="24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Подання інформації Національному банку</w:t>
      </w:r>
    </w:p>
    <w:tbl>
      <w:tblPr>
        <w:tblStyle w:val="11"/>
        <w:tblW w:w="9923"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1418"/>
        <w:gridCol w:w="1984"/>
        <w:gridCol w:w="1559"/>
        <w:gridCol w:w="1843"/>
      </w:tblGrid>
      <w:tr>
        <w:trPr>
          <w:cantSplit/>
          <w:tblHeader/>
        </w:trPr>
        <w:tc>
          <w:tcPr>
            <w:tcW w:w="3119" w:type="dxa"/>
            <w:vMerge w:val="restart"/>
          </w:tcPr>
          <w:p>
            <w:pPr>
              <w:widowControl w:val="0"/>
              <w:spacing w:after="0" w:line="240" w:lineRule="auto"/>
              <w:jc w:val="center"/>
              <w:rPr>
                <w:rFonts w:ascii="Times New Roman" w:hAnsi="Times New Roman" w:cs="Times New Roman"/>
                <w:sz w:val="28"/>
                <w:szCs w:val="28"/>
                <w:highlight w:val="white"/>
              </w:rPr>
            </w:pPr>
          </w:p>
        </w:tc>
        <w:tc>
          <w:tcPr>
            <w:tcW w:w="6804" w:type="dxa"/>
            <w:gridSpan w:val="4"/>
          </w:tcPr>
          <w:p>
            <w:pPr>
              <w:widowControl w:val="0"/>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highlight w:val="white"/>
              </w:rPr>
              <w:t>Кількість</w:t>
            </w:r>
            <w:r>
              <w:rPr>
                <w:rFonts w:ascii="Times New Roman" w:hAnsi="Times New Roman" w:cs="Times New Roman"/>
                <w:sz w:val="24"/>
                <w:szCs w:val="24"/>
              </w:rPr>
              <w:t xml:space="preserve"> фактів подання</w:t>
            </w:r>
          </w:p>
        </w:tc>
      </w:tr>
      <w:tr>
        <w:trPr>
          <w:cantSplit/>
          <w:trHeight w:val="528" w:hRule="atLeast"/>
          <w:tblHeader/>
        </w:trPr>
        <w:tc>
          <w:tcPr>
            <w:tcW w:w="3119" w:type="dxa"/>
            <w:vMerge w:val="continue"/>
          </w:tcPr>
          <w:p>
            <w:pPr>
              <w:widowControl w:val="0"/>
              <w:spacing w:after="0" w:line="240" w:lineRule="auto"/>
              <w:jc w:val="center"/>
              <w:rPr>
                <w:rFonts w:ascii="Times New Roman" w:hAnsi="Times New Roman" w:cs="Times New Roman"/>
                <w:sz w:val="28"/>
                <w:szCs w:val="28"/>
                <w:highlight w:val="white"/>
              </w:rPr>
            </w:pPr>
          </w:p>
        </w:tc>
        <w:tc>
          <w:tcPr>
            <w:tcW w:w="1418" w:type="dxa"/>
          </w:tcPr>
          <w:p>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НБФГ</w:t>
            </w:r>
          </w:p>
        </w:tc>
        <w:tc>
          <w:tcPr>
            <w:tcW w:w="1984" w:type="dxa"/>
            <w:tcBorders>
              <w:right w:val="single" w:color="auto" w:sz="4" w:space="0"/>
            </w:tcBorders>
          </w:tcPr>
          <w:p>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відповідальними особами</w:t>
            </w:r>
          </w:p>
        </w:tc>
        <w:tc>
          <w:tcPr>
            <w:tcW w:w="1559"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учасниками НБФГ</w:t>
            </w:r>
          </w:p>
        </w:tc>
        <w:tc>
          <w:tcPr>
            <w:tcW w:w="184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xml:space="preserve">контролерами НБФГ/особами, які мають намір стати контролерами </w:t>
            </w:r>
          </w:p>
        </w:tc>
      </w:tr>
      <w:tr>
        <w:trPr>
          <w:cantSplit/>
          <w:trHeight w:val="269" w:hRule="atLeast"/>
          <w:tblHeader/>
        </w:trPr>
        <w:tc>
          <w:tcPr>
            <w:tcW w:w="3119" w:type="dxa"/>
          </w:tcPr>
          <w:p>
            <w:pPr>
              <w:widowControl w:val="0"/>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Інформація/документи,</w:t>
            </w:r>
          </w:p>
          <w:p>
            <w:pPr>
              <w:widowControl w:val="0"/>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подані в рамках процедури ідентифікації небанківської фінансової групи</w:t>
            </w:r>
          </w:p>
        </w:tc>
        <w:tc>
          <w:tcPr>
            <w:tcW w:w="1418" w:type="dxa"/>
          </w:tcPr>
          <w:p>
            <w:pPr>
              <w:pStyle w:val="13"/>
              <w:widowControl w:val="0"/>
              <w:tabs>
                <w:tab w:val="left" w:pos="148"/>
              </w:tabs>
              <w:spacing w:after="0" w:line="240" w:lineRule="auto"/>
              <w:ind w:left="0"/>
              <w:jc w:val="center"/>
              <w:rPr>
                <w:rFonts w:ascii="Times New Roman" w:hAnsi="Times New Roman" w:cs="Times New Roman"/>
                <w:sz w:val="28"/>
                <w:szCs w:val="28"/>
                <w:highlight w:val="white"/>
              </w:rPr>
            </w:pPr>
            <w:r>
              <w:rPr>
                <w:rFonts w:ascii="Times New Roman" w:hAnsi="Times New Roman" w:cs="Times New Roman"/>
                <w:sz w:val="28"/>
                <w:szCs w:val="28"/>
                <w:highlight w:val="white"/>
              </w:rPr>
              <w:t>0</w:t>
            </w:r>
          </w:p>
        </w:tc>
        <w:tc>
          <w:tcPr>
            <w:tcW w:w="1984" w:type="dxa"/>
            <w:tcBorders>
              <w:right w:val="single" w:color="auto" w:sz="4" w:space="0"/>
            </w:tcBorders>
          </w:tcPr>
          <w:p>
            <w:pPr>
              <w:pStyle w:val="13"/>
              <w:widowControl w:val="0"/>
              <w:tabs>
                <w:tab w:val="left" w:pos="148"/>
              </w:tabs>
              <w:spacing w:after="0" w:line="240" w:lineRule="auto"/>
              <w:ind w:left="0"/>
              <w:jc w:val="center"/>
              <w:rPr>
                <w:rFonts w:ascii="Times New Roman" w:hAnsi="Times New Roman" w:cs="Times New Roman"/>
                <w:sz w:val="28"/>
                <w:szCs w:val="28"/>
                <w:highlight w:val="white"/>
              </w:rPr>
            </w:pPr>
            <w:r>
              <w:rPr>
                <w:rFonts w:ascii="Times New Roman" w:hAnsi="Times New Roman" w:cs="Times New Roman"/>
                <w:sz w:val="28"/>
                <w:szCs w:val="28"/>
                <w:highlight w:val="white"/>
              </w:rPr>
              <w:t>0</w:t>
            </w:r>
          </w:p>
        </w:tc>
        <w:tc>
          <w:tcPr>
            <w:tcW w:w="1559" w:type="dxa"/>
            <w:tcBorders>
              <w:top w:val="single" w:color="auto" w:sz="4" w:space="0"/>
              <w:left w:val="single" w:color="auto" w:sz="4" w:space="0"/>
              <w:bottom w:val="single" w:color="auto" w:sz="4" w:space="0"/>
              <w:right w:val="single" w:color="auto" w:sz="4" w:space="0"/>
            </w:tcBorders>
          </w:tcPr>
          <w:p>
            <w:pPr>
              <w:pStyle w:val="13"/>
              <w:widowControl w:val="0"/>
              <w:tabs>
                <w:tab w:val="left" w:pos="148"/>
              </w:tabs>
              <w:spacing w:after="0" w:line="240" w:lineRule="auto"/>
              <w:ind w:left="0"/>
              <w:jc w:val="center"/>
              <w:rPr>
                <w:rFonts w:ascii="Times New Roman" w:hAnsi="Times New Roman" w:cs="Times New Roman"/>
                <w:sz w:val="28"/>
                <w:szCs w:val="28"/>
                <w:highlight w:val="white"/>
              </w:rPr>
            </w:pPr>
            <w:r>
              <w:rPr>
                <w:rFonts w:ascii="Times New Roman" w:hAnsi="Times New Roman" w:cs="Times New Roman"/>
                <w:sz w:val="28"/>
                <w:szCs w:val="28"/>
                <w:highlight w:val="white"/>
              </w:rPr>
              <w:t>0</w:t>
            </w:r>
          </w:p>
        </w:tc>
        <w:tc>
          <w:tcPr>
            <w:tcW w:w="1843" w:type="dxa"/>
            <w:tcBorders>
              <w:top w:val="single" w:color="auto" w:sz="4" w:space="0"/>
              <w:left w:val="single" w:color="auto" w:sz="4" w:space="0"/>
              <w:bottom w:val="single" w:color="auto" w:sz="4" w:space="0"/>
              <w:right w:val="single" w:color="auto" w:sz="4" w:space="0"/>
            </w:tcBorders>
          </w:tcPr>
          <w:p>
            <w:pPr>
              <w:pStyle w:val="13"/>
              <w:widowControl w:val="0"/>
              <w:tabs>
                <w:tab w:val="left" w:pos="148"/>
              </w:tabs>
              <w:spacing w:after="0" w:line="240" w:lineRule="auto"/>
              <w:ind w:left="0"/>
              <w:jc w:val="center"/>
              <w:rPr>
                <w:rFonts w:ascii="Times New Roman" w:hAnsi="Times New Roman" w:cs="Times New Roman"/>
                <w:sz w:val="28"/>
                <w:szCs w:val="28"/>
                <w:highlight w:val="white"/>
              </w:rPr>
            </w:pPr>
            <w:r>
              <w:rPr>
                <w:rFonts w:ascii="Times New Roman" w:hAnsi="Times New Roman" w:cs="Times New Roman"/>
                <w:sz w:val="28"/>
                <w:szCs w:val="28"/>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59" w:hRule="atLeast"/>
          <w:tblHeader/>
        </w:trPr>
        <w:tc>
          <w:tcPr>
            <w:tcW w:w="3119" w:type="dxa"/>
          </w:tcPr>
          <w:p>
            <w:pPr>
              <w:widowControl w:val="0"/>
              <w:spacing w:after="0" w:line="240" w:lineRule="auto"/>
              <w:rPr>
                <w:rFonts w:ascii="Times New Roman" w:hAnsi="Times New Roman" w:cs="Times New Roman"/>
                <w:sz w:val="28"/>
                <w:szCs w:val="28"/>
                <w:highlight w:val="white"/>
              </w:rPr>
            </w:pPr>
            <w:r>
              <w:rPr>
                <w:rFonts w:ascii="Times New Roman" w:hAnsi="Times New Roman" w:cs="Times New Roman"/>
                <w:sz w:val="28"/>
                <w:szCs w:val="28"/>
              </w:rPr>
              <w:t>Інформація/документи, подані для погодження відповідальної особи</w:t>
            </w:r>
          </w:p>
        </w:tc>
        <w:tc>
          <w:tcPr>
            <w:tcW w:w="1418" w:type="dxa"/>
            <w:vAlign w:val="center"/>
          </w:tcPr>
          <w:p>
            <w:pPr>
              <w:widowControl w:val="0"/>
              <w:tabs>
                <w:tab w:val="left" w:pos="148"/>
              </w:tabs>
              <w:spacing w:after="0" w:line="240" w:lineRule="auto"/>
              <w:ind w:hanging="37"/>
              <w:jc w:val="center"/>
              <w:rPr>
                <w:rFonts w:ascii="Times New Roman" w:hAnsi="Times New Roman" w:cs="Times New Roman"/>
                <w:sz w:val="28"/>
                <w:szCs w:val="28"/>
                <w:highlight w:val="white"/>
              </w:rPr>
            </w:pPr>
            <w:r>
              <w:rPr>
                <w:rFonts w:ascii="Times New Roman" w:hAnsi="Times New Roman" w:cs="Times New Roman"/>
                <w:sz w:val="28"/>
                <w:szCs w:val="28"/>
                <w:highlight w:val="white"/>
              </w:rPr>
              <w:t>1</w:t>
            </w:r>
          </w:p>
        </w:tc>
        <w:tc>
          <w:tcPr>
            <w:tcW w:w="1984" w:type="dxa"/>
            <w:vAlign w:val="center"/>
          </w:tcPr>
          <w:p>
            <w:pPr>
              <w:widowControl w:val="0"/>
              <w:tabs>
                <w:tab w:val="left" w:pos="148"/>
              </w:tabs>
              <w:spacing w:after="0" w:line="240" w:lineRule="auto"/>
              <w:ind w:hanging="37"/>
              <w:jc w:val="center"/>
              <w:rPr>
                <w:rFonts w:ascii="Times New Roman" w:hAnsi="Times New Roman" w:cs="Times New Roman"/>
                <w:sz w:val="28"/>
                <w:szCs w:val="28"/>
                <w:highlight w:val="white"/>
              </w:rPr>
            </w:pPr>
            <w:r>
              <w:rPr>
                <w:rFonts w:ascii="Times New Roman" w:hAnsi="Times New Roman" w:cs="Times New Roman"/>
                <w:sz w:val="28"/>
                <w:szCs w:val="28"/>
                <w:highlight w:val="white"/>
              </w:rPr>
              <w:t>1</w:t>
            </w:r>
            <w:bookmarkStart w:id="0" w:name="_GoBack"/>
            <w:bookmarkEnd w:id="0"/>
          </w:p>
        </w:tc>
        <w:tc>
          <w:tcPr>
            <w:tcW w:w="1559" w:type="dxa"/>
            <w:tcBorders>
              <w:top w:val="single" w:color="auto" w:sz="4" w:space="0"/>
            </w:tcBorders>
            <w:vAlign w:val="center"/>
          </w:tcPr>
          <w:p>
            <w:pPr>
              <w:widowControl w:val="0"/>
              <w:tabs>
                <w:tab w:val="left" w:pos="148"/>
              </w:tabs>
              <w:spacing w:after="0" w:line="240" w:lineRule="auto"/>
              <w:ind w:hanging="37"/>
              <w:jc w:val="center"/>
              <w:rPr>
                <w:rFonts w:ascii="Times New Roman" w:hAnsi="Times New Roman" w:cs="Times New Roman"/>
                <w:sz w:val="28"/>
                <w:szCs w:val="28"/>
                <w:highlight w:val="white"/>
              </w:rPr>
            </w:pPr>
            <w:r>
              <w:rPr>
                <w:rFonts w:ascii="Times New Roman" w:hAnsi="Times New Roman" w:cs="Times New Roman"/>
                <w:sz w:val="28"/>
                <w:szCs w:val="28"/>
                <w:highlight w:val="white"/>
              </w:rPr>
              <w:t>3</w:t>
            </w:r>
          </w:p>
        </w:tc>
        <w:tc>
          <w:tcPr>
            <w:tcW w:w="1843" w:type="dxa"/>
            <w:tcBorders>
              <w:top w:val="single" w:color="auto" w:sz="4" w:space="0"/>
            </w:tcBorders>
            <w:vAlign w:val="center"/>
          </w:tcPr>
          <w:p>
            <w:pPr>
              <w:widowControl w:val="0"/>
              <w:tabs>
                <w:tab w:val="left" w:pos="148"/>
              </w:tabs>
              <w:spacing w:after="0" w:line="240" w:lineRule="auto"/>
              <w:ind w:hanging="37"/>
              <w:jc w:val="center"/>
              <w:rPr>
                <w:rFonts w:ascii="Times New Roman" w:hAnsi="Times New Roman" w:cs="Times New Roman"/>
                <w:sz w:val="28"/>
                <w:szCs w:val="28"/>
                <w:highlight w:val="white"/>
              </w:rPr>
            </w:pPr>
            <w:r>
              <w:rPr>
                <w:rFonts w:ascii="Times New Roman" w:hAnsi="Times New Roman" w:cs="Times New Roman"/>
                <w:sz w:val="28"/>
                <w:szCs w:val="28"/>
                <w:highlight w:val="whit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59" w:hRule="atLeast"/>
          <w:tblHeader/>
        </w:trPr>
        <w:tc>
          <w:tcPr>
            <w:tcW w:w="3119" w:type="dxa"/>
          </w:tcPr>
          <w:p>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Консолідована/</w:t>
            </w:r>
          </w:p>
          <w:p>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субконсолідована звітність </w:t>
            </w:r>
          </w:p>
        </w:tc>
        <w:tc>
          <w:tcPr>
            <w:tcW w:w="1418" w:type="dxa"/>
          </w:tcPr>
          <w:p>
            <w:pPr>
              <w:widowControl w:val="0"/>
              <w:tabs>
                <w:tab w:val="left" w:pos="148"/>
              </w:tabs>
              <w:spacing w:after="0" w:line="240" w:lineRule="auto"/>
              <w:ind w:hanging="37"/>
              <w:jc w:val="center"/>
              <w:rPr>
                <w:rFonts w:ascii="Times New Roman" w:hAnsi="Times New Roman" w:cs="Times New Roman"/>
                <w:sz w:val="28"/>
                <w:szCs w:val="28"/>
              </w:rPr>
            </w:pPr>
            <w:r>
              <w:rPr>
                <w:rFonts w:ascii="Times New Roman" w:hAnsi="Times New Roman" w:cs="Times New Roman"/>
                <w:sz w:val="28"/>
                <w:szCs w:val="28"/>
              </w:rPr>
              <w:t>18</w:t>
            </w:r>
          </w:p>
        </w:tc>
        <w:tc>
          <w:tcPr>
            <w:tcW w:w="1984" w:type="dxa"/>
          </w:tcPr>
          <w:p>
            <w:pPr>
              <w:widowControl w:val="0"/>
              <w:tabs>
                <w:tab w:val="left" w:pos="148"/>
              </w:tabs>
              <w:spacing w:after="0" w:line="240" w:lineRule="auto"/>
              <w:ind w:hanging="37"/>
              <w:jc w:val="center"/>
              <w:rPr>
                <w:rFonts w:ascii="Times New Roman" w:hAnsi="Times New Roman" w:cs="Times New Roman"/>
                <w:sz w:val="28"/>
                <w:szCs w:val="28"/>
              </w:rPr>
            </w:pPr>
            <w:r>
              <w:rPr>
                <w:rFonts w:ascii="Times New Roman" w:hAnsi="Times New Roman" w:cs="Times New Roman"/>
                <w:sz w:val="28"/>
                <w:szCs w:val="28"/>
              </w:rPr>
              <w:t>18</w:t>
            </w:r>
          </w:p>
        </w:tc>
        <w:tc>
          <w:tcPr>
            <w:tcW w:w="1559" w:type="dxa"/>
          </w:tcPr>
          <w:p>
            <w:pPr>
              <w:widowControl w:val="0"/>
              <w:tabs>
                <w:tab w:val="left" w:pos="148"/>
              </w:tabs>
              <w:spacing w:after="0" w:line="240" w:lineRule="auto"/>
              <w:ind w:hanging="37"/>
              <w:jc w:val="center"/>
              <w:rPr>
                <w:rFonts w:ascii="Times New Roman" w:hAnsi="Times New Roman" w:cs="Times New Roman"/>
                <w:sz w:val="28"/>
                <w:szCs w:val="28"/>
              </w:rPr>
            </w:pPr>
            <w:r>
              <w:rPr>
                <w:rFonts w:ascii="Times New Roman" w:hAnsi="Times New Roman" w:cs="Times New Roman"/>
                <w:sz w:val="28"/>
                <w:szCs w:val="28"/>
              </w:rPr>
              <w:t>52</w:t>
            </w:r>
          </w:p>
        </w:tc>
        <w:tc>
          <w:tcPr>
            <w:tcW w:w="1843" w:type="dxa"/>
          </w:tcPr>
          <w:p>
            <w:pPr>
              <w:widowControl w:val="0"/>
              <w:tabs>
                <w:tab w:val="left" w:pos="148"/>
              </w:tabs>
              <w:spacing w:after="0" w:line="240" w:lineRule="auto"/>
              <w:ind w:hanging="37"/>
              <w:jc w:val="center"/>
              <w:rPr>
                <w:rFonts w:ascii="Times New Roman" w:hAnsi="Times New Roman" w:cs="Times New Roman"/>
                <w:sz w:val="28"/>
                <w:szCs w:val="28"/>
              </w:rPr>
            </w:pPr>
            <w:r>
              <w:rPr>
                <w:rFonts w:ascii="Times New Roman" w:hAnsi="Times New Roman" w:cs="Times New Roman"/>
                <w:sz w:val="28"/>
                <w:szCs w:val="28"/>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59" w:hRule="atLeast"/>
          <w:tblHeader/>
        </w:trPr>
        <w:tc>
          <w:tcPr>
            <w:tcW w:w="3119" w:type="dxa"/>
          </w:tcPr>
          <w:p>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Інформація щодо деталізації окремих суттєвих статей консолідованої звітності </w:t>
            </w:r>
          </w:p>
        </w:tc>
        <w:tc>
          <w:tcPr>
            <w:tcW w:w="1418" w:type="dxa"/>
          </w:tcPr>
          <w:p>
            <w:pPr>
              <w:widowControl w:val="0"/>
              <w:tabs>
                <w:tab w:val="left" w:pos="148"/>
              </w:tabs>
              <w:spacing w:after="0" w:line="240" w:lineRule="auto"/>
              <w:ind w:hanging="37"/>
              <w:jc w:val="center"/>
              <w:rPr>
                <w:rFonts w:ascii="Times New Roman" w:hAnsi="Times New Roman" w:cs="Times New Roman"/>
                <w:sz w:val="28"/>
                <w:szCs w:val="28"/>
              </w:rPr>
            </w:pPr>
            <w:r>
              <w:rPr>
                <w:rFonts w:ascii="Times New Roman" w:hAnsi="Times New Roman" w:cs="Times New Roman"/>
                <w:sz w:val="28"/>
                <w:szCs w:val="28"/>
              </w:rPr>
              <w:t>18</w:t>
            </w:r>
          </w:p>
        </w:tc>
        <w:tc>
          <w:tcPr>
            <w:tcW w:w="1984" w:type="dxa"/>
          </w:tcPr>
          <w:p>
            <w:pPr>
              <w:widowControl w:val="0"/>
              <w:tabs>
                <w:tab w:val="left" w:pos="148"/>
              </w:tabs>
              <w:spacing w:after="0" w:line="240" w:lineRule="auto"/>
              <w:ind w:hanging="37"/>
              <w:jc w:val="center"/>
              <w:rPr>
                <w:rFonts w:ascii="Times New Roman" w:hAnsi="Times New Roman" w:cs="Times New Roman"/>
                <w:sz w:val="28"/>
                <w:szCs w:val="28"/>
              </w:rPr>
            </w:pPr>
            <w:r>
              <w:rPr>
                <w:rFonts w:ascii="Times New Roman" w:hAnsi="Times New Roman" w:cs="Times New Roman"/>
                <w:sz w:val="28"/>
                <w:szCs w:val="28"/>
              </w:rPr>
              <w:t>18</w:t>
            </w:r>
          </w:p>
        </w:tc>
        <w:tc>
          <w:tcPr>
            <w:tcW w:w="1559" w:type="dxa"/>
          </w:tcPr>
          <w:p>
            <w:pPr>
              <w:widowControl w:val="0"/>
              <w:tabs>
                <w:tab w:val="left" w:pos="148"/>
              </w:tabs>
              <w:spacing w:after="0" w:line="240" w:lineRule="auto"/>
              <w:ind w:hanging="37"/>
              <w:jc w:val="center"/>
              <w:rPr>
                <w:rFonts w:ascii="Times New Roman" w:hAnsi="Times New Roman" w:cs="Times New Roman"/>
                <w:sz w:val="28"/>
                <w:szCs w:val="28"/>
              </w:rPr>
            </w:pPr>
            <w:r>
              <w:rPr>
                <w:rFonts w:ascii="Times New Roman" w:hAnsi="Times New Roman" w:cs="Times New Roman"/>
                <w:sz w:val="28"/>
                <w:szCs w:val="28"/>
              </w:rPr>
              <w:t>52</w:t>
            </w:r>
          </w:p>
        </w:tc>
        <w:tc>
          <w:tcPr>
            <w:tcW w:w="1843" w:type="dxa"/>
          </w:tcPr>
          <w:p>
            <w:pPr>
              <w:widowControl w:val="0"/>
              <w:tabs>
                <w:tab w:val="left" w:pos="148"/>
              </w:tabs>
              <w:spacing w:after="0" w:line="240" w:lineRule="auto"/>
              <w:ind w:hanging="37"/>
              <w:jc w:val="center"/>
              <w:rPr>
                <w:rFonts w:ascii="Times New Roman" w:hAnsi="Times New Roman" w:cs="Times New Roman"/>
                <w:sz w:val="28"/>
                <w:szCs w:val="28"/>
              </w:rPr>
            </w:pPr>
            <w:r>
              <w:rPr>
                <w:rFonts w:ascii="Times New Roman" w:hAnsi="Times New Roman" w:cs="Times New Roman"/>
                <w:sz w:val="28"/>
                <w:szCs w:val="28"/>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59" w:hRule="atLeast"/>
          <w:tblHeader/>
        </w:trPr>
        <w:tc>
          <w:tcPr>
            <w:tcW w:w="3119" w:type="dxa"/>
          </w:tcPr>
          <w:p>
            <w:pPr>
              <w:widowControl w:val="0"/>
              <w:spacing w:after="0" w:line="240" w:lineRule="auto"/>
              <w:rPr>
                <w:rFonts w:ascii="Times New Roman" w:hAnsi="Times New Roman" w:cs="Times New Roman"/>
                <w:sz w:val="28"/>
                <w:szCs w:val="28"/>
                <w:highlight w:val="white"/>
              </w:rPr>
            </w:pPr>
            <w:r>
              <w:rPr>
                <w:rFonts w:ascii="Times New Roman" w:hAnsi="Times New Roman" w:cs="Times New Roman"/>
                <w:sz w:val="28"/>
                <w:szCs w:val="28"/>
                <w:u w:val="none"/>
                <w:shd w:val="clear" w:color="auto" w:fill="FFFFFF"/>
              </w:rPr>
              <w:t>В</w:t>
            </w:r>
            <w:r>
              <w:rPr>
                <w:rFonts w:ascii="Times New Roman" w:hAnsi="Times New Roman" w:cs="Times New Roman"/>
                <w:sz w:val="28"/>
                <w:szCs w:val="28"/>
                <w:shd w:val="clear" w:color="auto" w:fill="FFFFFF"/>
              </w:rPr>
              <w:t>ідомості щодо структури власності, структури управління та організаційної структури</w:t>
            </w:r>
            <w:r>
              <w:rPr>
                <w:rFonts w:ascii="Times New Roman" w:hAnsi="Times New Roman" w:cs="Times New Roman"/>
                <w:sz w:val="28"/>
                <w:szCs w:val="28"/>
                <w:highlight w:val="white"/>
              </w:rPr>
              <w:t xml:space="preserve"> </w:t>
            </w:r>
          </w:p>
        </w:tc>
        <w:tc>
          <w:tcPr>
            <w:tcW w:w="1418" w:type="dxa"/>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0</w:t>
            </w:r>
          </w:p>
        </w:tc>
        <w:tc>
          <w:tcPr>
            <w:tcW w:w="1984" w:type="dxa"/>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0</w:t>
            </w:r>
          </w:p>
        </w:tc>
        <w:tc>
          <w:tcPr>
            <w:tcW w:w="1559" w:type="dxa"/>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0</w:t>
            </w:r>
          </w:p>
        </w:tc>
        <w:tc>
          <w:tcPr>
            <w:tcW w:w="1843" w:type="dxa"/>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28" w:hRule="atLeast"/>
          <w:tblHeader/>
        </w:trPr>
        <w:tc>
          <w:tcPr>
            <w:tcW w:w="3119" w:type="dxa"/>
          </w:tcPr>
          <w:p>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Інформація/документи за запитом Національного банку </w:t>
            </w:r>
          </w:p>
        </w:tc>
        <w:tc>
          <w:tcPr>
            <w:tcW w:w="1418" w:type="dxa"/>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1</w:t>
            </w:r>
          </w:p>
        </w:tc>
        <w:tc>
          <w:tcPr>
            <w:tcW w:w="1984" w:type="dxa"/>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1</w:t>
            </w:r>
          </w:p>
        </w:tc>
        <w:tc>
          <w:tcPr>
            <w:tcW w:w="1559" w:type="dxa"/>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4</w:t>
            </w:r>
          </w:p>
        </w:tc>
        <w:tc>
          <w:tcPr>
            <w:tcW w:w="1843" w:type="dxa"/>
          </w:tcPr>
          <w:p>
            <w:pPr>
              <w:widowControl w:val="0"/>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2</w:t>
            </w:r>
          </w:p>
        </w:tc>
      </w:tr>
    </w:tbl>
    <w:p>
      <w:pPr>
        <w:spacing w:after="0" w:line="240" w:lineRule="auto"/>
        <w:ind w:firstLine="709"/>
        <w:jc w:val="both"/>
        <w:rPr>
          <w:rFonts w:ascii="Times New Roman" w:hAnsi="Times New Roman" w:cs="Times New Roman"/>
          <w:color w:val="FF0000"/>
          <w:sz w:val="28"/>
          <w:szCs w:val="28"/>
        </w:rPr>
      </w:pPr>
    </w:p>
    <w:p>
      <w:pPr>
        <w:spacing w:after="0" w:line="240" w:lineRule="auto"/>
        <w:ind w:firstLine="567"/>
        <w:jc w:val="both"/>
        <w:rPr>
          <w:rFonts w:ascii="Times New Roman" w:hAnsi="Times New Roman" w:cs="Times New Roman"/>
          <w:sz w:val="28"/>
          <w:szCs w:val="28"/>
          <w:u w:val="single"/>
          <w:lang w:eastAsia="ru-RU"/>
        </w:rPr>
      </w:pPr>
      <w:r>
        <w:rPr>
          <w:rFonts w:ascii="Times New Roman" w:hAnsi="Times New Roman" w:cs="Times New Roman"/>
          <w:sz w:val="28"/>
          <w:szCs w:val="28"/>
        </w:rPr>
        <w:t xml:space="preserve">4. </w:t>
      </w:r>
      <w:r>
        <w:rPr>
          <w:rFonts w:ascii="Times New Roman" w:hAnsi="Times New Roman" w:cs="Times New Roman"/>
          <w:sz w:val="28"/>
          <w:szCs w:val="28"/>
          <w:u w:val="single"/>
          <w:lang w:eastAsia="ru-RU"/>
        </w:rPr>
        <w:t>Кількість небанківських фінансових груп, під час здійснення нагляду за якими зафіксовані факти порушення вимог Закону про фінансові послуги,  нормативно-правових актів Національного банку з питань нагляду на консолідованій основі за небанківськими фінансовими групами.</w:t>
      </w:r>
    </w:p>
    <w:p>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 період з 08.12.2021 до 01.11.2022 під час здійснення нагляду за небанківськими фінансовими групами факти порушення вимог Закону про фінансові послуги та нормативно-правових актів Національного банку з питань нагляду на консолідованій основі за небанківськими фінансовими групами зафіксовані не були.</w:t>
      </w:r>
    </w:p>
    <w:p>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5. </w:t>
      </w:r>
      <w:r>
        <w:rPr>
          <w:rFonts w:ascii="Times New Roman" w:hAnsi="Times New Roman" w:cs="Times New Roman"/>
          <w:sz w:val="28"/>
          <w:szCs w:val="28"/>
          <w:u w:val="single"/>
          <w:lang w:eastAsia="ru-RU"/>
        </w:rPr>
        <w:t>Кількість заходів впливу, застосованих за результатами нагляду на консолідованій та субконсолідованій основі.</w:t>
      </w:r>
    </w:p>
    <w:p>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За період з 08.12.2021 до 01.11.2022 </w:t>
      </w:r>
      <w:r>
        <w:rPr>
          <w:rFonts w:ascii="Times New Roman" w:hAnsi="Times New Roman" w:cs="Times New Roman"/>
          <w:sz w:val="28"/>
          <w:szCs w:val="28"/>
          <w:lang w:eastAsia="ru-RU"/>
        </w:rPr>
        <w:t xml:space="preserve">за результатами нагляду на консолідованій та субконсолідованій основі заходи впливу до небанківських фінансових груп, відповідальних осіб </w:t>
      </w:r>
      <w:r>
        <w:rPr>
          <w:rFonts w:ascii="Times New Roman" w:hAnsi="Times New Roman" w:cs="Times New Roman"/>
          <w:sz w:val="28"/>
          <w:szCs w:val="28"/>
        </w:rPr>
        <w:t>Національний банк не застосовував</w:t>
      </w:r>
      <w:r>
        <w:rPr>
          <w:rFonts w:ascii="Times New Roman" w:hAnsi="Times New Roman" w:cs="Times New Roman"/>
          <w:sz w:val="28"/>
          <w:szCs w:val="28"/>
          <w:lang w:eastAsia="ru-RU"/>
        </w:rPr>
        <w:t>.</w:t>
      </w:r>
    </w:p>
    <w:p>
      <w:pPr>
        <w:spacing w:after="0" w:line="240" w:lineRule="auto"/>
        <w:ind w:firstLine="567"/>
        <w:jc w:val="both"/>
        <w:rPr>
          <w:rFonts w:ascii="Times New Roman" w:hAnsi="Times New Roman" w:cs="Times New Roman"/>
          <w:sz w:val="28"/>
          <w:szCs w:val="28"/>
        </w:rPr>
      </w:pPr>
    </w:p>
    <w:p>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Оцінка результатів реалізації акта та ступеня досягнення визначених цілей</w:t>
      </w:r>
      <w:r>
        <w:rPr>
          <w:rFonts w:ascii="Times New Roman" w:hAnsi="Times New Roman" w:cs="Times New Roman"/>
          <w:sz w:val="28"/>
          <w:szCs w:val="28"/>
        </w:rPr>
        <w:t xml:space="preserve"> </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статті 16¹ Закону про фінансові послуги визначені вимоги до небанківської фінансової групи, її підгруп, які орган, який здійснює державне регулювання відповідного ринку фінансових послуг, </w:t>
      </w:r>
      <w:r>
        <w:rPr>
          <w:rFonts w:ascii="Times New Roman" w:hAnsi="Times New Roman" w:cs="Times New Roman"/>
          <w:sz w:val="28"/>
          <w:szCs w:val="28"/>
          <w:shd w:val="clear" w:color="auto" w:fill="FFFFFF"/>
        </w:rPr>
        <w:t>з метою здійснення нагляду на консолідованій та субконсолідованій основі має право встановлювати у своїх нормативно-правових актах.</w:t>
      </w:r>
      <w:r>
        <w:rPr>
          <w:rFonts w:ascii="Times New Roman" w:hAnsi="Times New Roman" w:cs="Times New Roman"/>
          <w:sz w:val="28"/>
          <w:szCs w:val="28"/>
        </w:rPr>
        <w:t xml:space="preserve"> Отже, прийняттям регуляторного акта забезпечено дотримання норм Закону про фінансові послуги. </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Зокрема, прийняття регуляторного акта дало змогу чітко регламентувати </w:t>
      </w:r>
      <w:r>
        <w:rPr>
          <w:rFonts w:ascii="Times New Roman" w:hAnsi="Times New Roman" w:cs="Times New Roman"/>
          <w:sz w:val="28"/>
          <w:szCs w:val="28"/>
        </w:rPr>
        <w:t>низку питань, що визначають порядок нагляду на консолідованій основі за небанківськими фінансовими групами, а саме:</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ідентифікації, визнання та припинення визнання небанківських фінансових груп; </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встановлення критеріїв визначення підгруп у межах небанківської фінансової групи; </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визначення обов’язків контролера, відповідальної особи небанківської фінансової групи та порядок її погодження Національним банком; </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визначення ознак, що</w:t>
      </w:r>
      <w:r>
        <w:rPr>
          <w:rFonts w:ascii="Times New Roman" w:hAnsi="Times New Roman" w:cs="Times New Roman"/>
          <w:sz w:val="28"/>
          <w:szCs w:val="28"/>
          <w:lang w:eastAsia="ru-RU"/>
        </w:rPr>
        <w:t xml:space="preserve"> можуть свідчити про наявність контролю між фінансовими установами, установами, що надають їм допоміжні послуги або про наявність у зазначених осіб спільного контролера, а також визначення умов, </w:t>
      </w:r>
      <w:r>
        <w:rPr>
          <w:rFonts w:ascii="Times New Roman" w:hAnsi="Times New Roman" w:cs="Times New Roman"/>
          <w:sz w:val="28"/>
          <w:szCs w:val="28"/>
        </w:rPr>
        <w:t>за яких зазначені ознаки застосовуються;</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встановлення вимог щодо достатності регулятивного капіталу небанківської фінансової групи та щодо внутрішньогрупових операцій і операцій з особами, які є пов’язаними з небанківською фінансовою групою;</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визначення особливостей складання та подання звітності небанківськими фінансовими групами, за якими здійснює нагляд Національний банк.</w:t>
      </w:r>
    </w:p>
    <w:p>
      <w:pPr>
        <w:widowControl w:val="0"/>
        <w:tabs>
          <w:tab w:val="left" w:pos="151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За результатами оцінки реалізації регуляторного акта можна виокремити такі позитивні наслідки його дії для суб’єктів, на яких поширюється дія регуляторного акта</w:t>
      </w:r>
      <w:r>
        <w:rPr>
          <w:rFonts w:ascii="Times New Roman" w:hAnsi="Times New Roman" w:cs="Times New Roman"/>
          <w:sz w:val="28"/>
          <w:szCs w:val="28"/>
        </w:rPr>
        <w:t>:</w:t>
      </w:r>
    </w:p>
    <w:p>
      <w:pPr>
        <w:pStyle w:val="13"/>
        <w:widowControl w:val="0"/>
        <w:numPr>
          <w:ilvl w:val="0"/>
          <w:numId w:val="1"/>
        </w:numPr>
        <w:tabs>
          <w:tab w:val="left" w:pos="993"/>
          <w:tab w:val="left" w:pos="1512"/>
        </w:tabs>
        <w:spacing w:after="0" w:line="240" w:lineRule="auto"/>
        <w:ind w:left="0" w:firstLine="567"/>
        <w:contextualSpacing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обмежено ризики, на які наражається фінансова установа внаслідок участі у фінансовій групі, шляхом регулювання, моніторингу та контролю ризиків фінансової групи;</w:t>
      </w:r>
    </w:p>
    <w:p>
      <w:pPr>
        <w:pStyle w:val="13"/>
        <w:widowControl w:val="0"/>
        <w:numPr>
          <w:ilvl w:val="0"/>
          <w:numId w:val="1"/>
        </w:numPr>
        <w:tabs>
          <w:tab w:val="left" w:pos="993"/>
          <w:tab w:val="left" w:pos="1512"/>
        </w:tabs>
        <w:spacing w:after="0" w:line="240" w:lineRule="auto"/>
        <w:ind w:left="0" w:firstLine="567"/>
        <w:contextualSpacing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забезпечено чіткий, прозорий механізм ідентифікації, визнання та припинення визнання небанківської фінансової групи;</w:t>
      </w:r>
    </w:p>
    <w:p>
      <w:pPr>
        <w:pStyle w:val="13"/>
        <w:widowControl w:val="0"/>
        <w:numPr>
          <w:ilvl w:val="0"/>
          <w:numId w:val="1"/>
        </w:numPr>
        <w:tabs>
          <w:tab w:val="left" w:pos="993"/>
          <w:tab w:val="left" w:pos="1512"/>
        </w:tabs>
        <w:spacing w:after="0" w:line="240" w:lineRule="auto"/>
        <w:ind w:left="0" w:firstLine="567"/>
        <w:contextualSpacing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унормовано та визначено послідовність дій осіб, що мають намір стати контролером небанківської фінансової групи, контролерів, учасників групи, у тому числі відповідальної особи небанківської групи в межах здійснення Національним банком нагляду на консолідованій та субконсолідованій основі;</w:t>
      </w:r>
    </w:p>
    <w:p>
      <w:pPr>
        <w:pStyle w:val="13"/>
        <w:widowControl w:val="0"/>
        <w:numPr>
          <w:ilvl w:val="0"/>
          <w:numId w:val="1"/>
        </w:numPr>
        <w:tabs>
          <w:tab w:val="left" w:pos="993"/>
          <w:tab w:val="left" w:pos="1512"/>
        </w:tabs>
        <w:spacing w:after="0" w:line="240" w:lineRule="auto"/>
        <w:ind w:left="0" w:firstLine="567"/>
        <w:contextualSpacing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визначено перелік інформації, формат та порядок її подання під час визнання небанківської фінансової групи, погодження відповідальної особи групи, надання інформації щодо змін структури власності та видів діяльності учасників групи, здійснення нагляду на консолідованій та субконсолідованій основі.</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Протягом дії регуляторного акта негативних відгуків щодо рівня його підготовки від учасників ринку небанківських фінансових послуг не надходило. Результати реалізації регуляторного акта та ступінь досягнення визначених цілей загалом оцінюються позитивно. Подальший висновок щодо оцінки результативності дії регуляторного акта буде зроблено за результатами повторного відстеження, яке здійснюватиметься відповідно до Закону України “Про засади державної регуляторної політики у сфері господарської діяльності”.</w:t>
      </w:r>
    </w:p>
    <w:p>
      <w:pPr>
        <w:spacing w:after="0" w:line="240" w:lineRule="auto"/>
        <w:ind w:firstLine="709"/>
        <w:jc w:val="both"/>
        <w:rPr>
          <w:rFonts w:ascii="Times New Roman" w:hAnsi="Times New Roman" w:cs="Times New Roman"/>
          <w:color w:val="FF0000"/>
          <w:sz w:val="28"/>
          <w:szCs w:val="28"/>
        </w:rPr>
      </w:pPr>
    </w:p>
    <w:p>
      <w:pPr>
        <w:spacing w:after="0" w:line="240" w:lineRule="auto"/>
        <w:ind w:firstLine="709"/>
        <w:jc w:val="both"/>
        <w:rPr>
          <w:rFonts w:ascii="Times New Roman" w:hAnsi="Times New Roman" w:cs="Times New Roman"/>
          <w:color w:val="FF0000"/>
          <w:sz w:val="28"/>
          <w:szCs w:val="28"/>
        </w:rPr>
      </w:pPr>
    </w:p>
    <w:p>
      <w:pPr>
        <w:spacing w:after="0" w:line="240" w:lineRule="auto"/>
        <w:ind w:firstLine="567"/>
        <w:jc w:val="both"/>
        <w:rPr>
          <w:rFonts w:ascii="Times New Roman" w:hAnsi="Times New Roman" w:cs="Times New Roman"/>
          <w:sz w:val="28"/>
          <w:szCs w:val="28"/>
        </w:rPr>
      </w:pPr>
    </w:p>
    <w:tbl>
      <w:tblPr>
        <w:tblStyle w:val="12"/>
        <w:tblW w:w="9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79"/>
        <w:gridCol w:w="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vAlign w:val="bottom"/>
          </w:tcPr>
          <w:p>
            <w:pPr>
              <w:spacing w:after="0" w:line="240" w:lineRule="auto"/>
              <w:ind w:left="-109" w:right="-1"/>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Голова </w:t>
            </w:r>
          </w:p>
          <w:p>
            <w:pPr>
              <w:spacing w:after="0" w:line="240" w:lineRule="auto"/>
              <w:ind w:left="-109" w:right="-1"/>
              <w:jc w:val="both"/>
              <w:rPr>
                <w:rFonts w:ascii="Times New Roman" w:hAnsi="Times New Roman" w:eastAsia="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Національного банку України</w:t>
            </w:r>
          </w:p>
        </w:tc>
        <w:tc>
          <w:tcPr>
            <w:tcW w:w="3260" w:type="dxa"/>
            <w:vAlign w:val="bottom"/>
          </w:tcPr>
          <w:p>
            <w:pPr>
              <w:tabs>
                <w:tab w:val="left" w:pos="7020"/>
                <w:tab w:val="left" w:pos="7200"/>
              </w:tabs>
              <w:autoSpaceDE w:val="0"/>
              <w:autoSpaceDN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Андрій ПИШНИЙ</w:t>
            </w:r>
          </w:p>
        </w:tc>
      </w:tr>
    </w:tbl>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sectPr>
      <w:headerReference r:id="rId4" w:type="default"/>
      <w:pgSz w:w="11906" w:h="16838"/>
      <w:pgMar w:top="850" w:right="707" w:bottom="1702" w:left="1701"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CC"/>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panose1 w:val="02040503050406030204"/>
    <w:charset w:val="00"/>
    <w:family w:val="roman"/>
    <w:pitch w:val="default"/>
    <w:sig w:usb0="E00002FF" w:usb1="400004FF" w:usb2="00000000" w:usb3="00000000" w:csb0="2000019F" w:csb1="00000000"/>
  </w:font>
  <w:font w:name="Calibri">
    <w:panose1 w:val="020F0702030404030204"/>
    <w:charset w:val="86"/>
    <w:family w:val="swiss"/>
    <w:pitch w:val="default"/>
    <w:sig w:usb0="E10002FF" w:usb1="4000ACFF" w:usb2="00000009" w:usb3="00000000" w:csb0="2000019F" w:csb1="00000000"/>
  </w:font>
  <w:font w:name="Courier New">
    <w:panose1 w:val="02070609020205090404"/>
    <w:charset w:val="CC"/>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CC"/>
    <w:family w:val="swiss"/>
    <w:pitch w:val="default"/>
    <w:sig w:usb0="E10002FF" w:usb1="4000ACFF" w:usb2="00000009" w:usb3="00000000" w:csb0="2000019F" w:csb1="00000000"/>
  </w:font>
  <w:font w:name="Segoe UI">
    <w:altName w:val="Helvetica Neue"/>
    <w:panose1 w:val="020B0502040204020203"/>
    <w:charset w:val="CC"/>
    <w:family w:val="swiss"/>
    <w:pitch w:val="default"/>
    <w:sig w:usb0="00000000" w:usb1="00000000" w:usb2="00000009" w:usb3="00000000" w:csb0="000001FF" w:csb1="00000000"/>
  </w:font>
  <w:font w:name="DengXian Light">
    <w:altName w:val="苹方-简"/>
    <w:panose1 w:val="00000000000000000000"/>
    <w:charset w:val="86"/>
    <w:family w:val="roman"/>
    <w:pitch w:val="default"/>
    <w:sig w:usb0="00000000" w:usb1="00000000" w:usb2="00000000" w:usb3="00000000" w:csb0="00000000" w:csb1="00000000"/>
  </w:font>
  <w:font w:name="Calibri Light">
    <w:panose1 w:val="020F0702030404030204"/>
    <w:charset w:val="CC"/>
    <w:family w:val="swiss"/>
    <w:pitch w:val="default"/>
    <w:sig w:usb0="E10002FF" w:usb1="4000ACFF" w:usb2="00000009" w:usb3="00000000" w:csb0="2000019F" w:csb1="00000000"/>
  </w:font>
  <w:font w:name="DengXian">
    <w:altName w:val="苹方-简"/>
    <w:panose1 w:val="02010600030101010101"/>
    <w:charset w:val="86"/>
    <w:family w:val="modern"/>
    <w:pitch w:val="default"/>
    <w:sig w:usb0="00000000" w:usb1="00000000" w:usb2="00000010" w:usb3="00000000" w:csb0="00040000" w:csb1="00000000"/>
  </w:font>
  <w:font w:name="Calibri">
    <w:panose1 w:val="020F0702030404030204"/>
    <w:charset w:val="00"/>
    <w:family w:val="auto"/>
    <w:pitch w:val="default"/>
    <w:sig w:usb0="E10002FF" w:usb1="4000ACFF" w:usb2="00000009" w:usb3="00000000" w:csb0="2000019F" w:csb1="00000000"/>
  </w:font>
  <w:font w:name="Hiragino Sans GB">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Times New Roman Regular">
    <w:panose1 w:val="02020703060505090304"/>
    <w:charset w:val="00"/>
    <w:family w:val="auto"/>
    <w:pitch w:val="default"/>
    <w:sig w:usb0="E0000AFF" w:usb1="00007843" w:usb2="00000001" w:usb3="00000000" w:csb0="400001BF" w:csb1="DFF70000"/>
  </w:font>
  <w:font w:name="Arial Regular">
    <w:panose1 w:val="020B0604020202090204"/>
    <w:charset w:val="00"/>
    <w:family w:val="auto"/>
    <w:pitch w:val="default"/>
    <w:sig w:usb0="E0000AFF" w:usb1="00007843" w:usb2="00000001" w:usb3="00000000" w:csb0="4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snapToGrid w:val="0"/>
      </w:pPr>
      <w:r>
        <w:rPr>
          <w:rStyle w:val="10"/>
          <w:rFonts w:hint="default" w:ascii="Times New Roman Regular" w:hAnsi="Times New Roman Regular" w:cs="Times New Roman Regular"/>
        </w:rPr>
        <w:footnoteRef/>
      </w:r>
      <w:r>
        <w:rPr>
          <w:rFonts w:hint="default" w:ascii="Times New Roman Regular" w:hAnsi="Times New Roman Regular" w:cs="Times New Roman Regular"/>
        </w:rPr>
        <w:t xml:space="preserve"> </w:t>
      </w:r>
      <w:r>
        <w:rPr>
          <w:rFonts w:ascii="Times New Roman Regular" w:hAnsi="Times New Roman Regular" w:eastAsia="Times New Roman" w:cs="Times New Roman Regular"/>
          <w:sz w:val="22"/>
          <w:szCs w:val="22"/>
          <w:highlight w:val="white"/>
        </w:rPr>
        <w:t>НКЦПФР</w:t>
      </w:r>
      <w:r>
        <w:rPr>
          <w:rFonts w:ascii="Times New Roman Regular" w:hAnsi="Times New Roman Regular" w:eastAsia="Times New Roman" w:cs="Times New Roman Regular"/>
          <w:sz w:val="22"/>
          <w:szCs w:val="22"/>
          <w:highlight w:val="white"/>
        </w:rPr>
        <w:t xml:space="preserve"> - Національна комісія з цінних паперів та фондового ринку.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0463376"/>
    </w:sdtPr>
    <w:sdtEndPr>
      <w:rPr>
        <w:rFonts w:ascii="Times New Roman" w:hAnsi="Times New Roman" w:cs="Times New Roman"/>
        <w:sz w:val="28"/>
      </w:rPr>
    </w:sdtEndPr>
    <w:sdtContent>
      <w:p>
        <w:pPr>
          <w:pStyle w:val="7"/>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rPr>
          <w:t>6</w:t>
        </w:r>
        <w:r>
          <w:rPr>
            <w:rFonts w:ascii="Times New Roman" w:hAnsi="Times New Roman" w:cs="Times New Roman"/>
            <w:sz w:val="28"/>
          </w:rPr>
          <w:fldChar w:fldCharType="end"/>
        </w:r>
      </w:p>
    </w:sdtContent>
  </w:sdt>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72533"/>
    <w:multiLevelType w:val="multilevel"/>
    <w:tmpl w:val="3F572533"/>
    <w:lvl w:ilvl="0" w:tentative="0">
      <w:start w:val="1"/>
      <w:numFmt w:val="decimal"/>
      <w:lvlText w:val="%1)"/>
      <w:lvlJc w:val="left"/>
      <w:pPr>
        <w:ind w:left="1046" w:hanging="360"/>
      </w:pPr>
    </w:lvl>
    <w:lvl w:ilvl="1" w:tentative="0">
      <w:start w:val="1"/>
      <w:numFmt w:val="lowerLetter"/>
      <w:lvlText w:val="%2."/>
      <w:lvlJc w:val="left"/>
      <w:pPr>
        <w:ind w:left="1766" w:hanging="360"/>
      </w:pPr>
    </w:lvl>
    <w:lvl w:ilvl="2" w:tentative="0">
      <w:start w:val="1"/>
      <w:numFmt w:val="lowerRoman"/>
      <w:lvlText w:val="%3."/>
      <w:lvlJc w:val="right"/>
      <w:pPr>
        <w:ind w:left="2486" w:hanging="180"/>
      </w:pPr>
    </w:lvl>
    <w:lvl w:ilvl="3" w:tentative="0">
      <w:start w:val="1"/>
      <w:numFmt w:val="decimal"/>
      <w:lvlText w:val="%4."/>
      <w:lvlJc w:val="left"/>
      <w:pPr>
        <w:ind w:left="3206" w:hanging="360"/>
      </w:pPr>
    </w:lvl>
    <w:lvl w:ilvl="4" w:tentative="0">
      <w:start w:val="1"/>
      <w:numFmt w:val="lowerLetter"/>
      <w:lvlText w:val="%5."/>
      <w:lvlJc w:val="left"/>
      <w:pPr>
        <w:ind w:left="3926" w:hanging="360"/>
      </w:pPr>
    </w:lvl>
    <w:lvl w:ilvl="5" w:tentative="0">
      <w:start w:val="1"/>
      <w:numFmt w:val="lowerRoman"/>
      <w:lvlText w:val="%6."/>
      <w:lvlJc w:val="right"/>
      <w:pPr>
        <w:ind w:left="4646" w:hanging="180"/>
      </w:pPr>
    </w:lvl>
    <w:lvl w:ilvl="6" w:tentative="0">
      <w:start w:val="1"/>
      <w:numFmt w:val="decimal"/>
      <w:lvlText w:val="%7."/>
      <w:lvlJc w:val="left"/>
      <w:pPr>
        <w:ind w:left="5366" w:hanging="360"/>
      </w:pPr>
    </w:lvl>
    <w:lvl w:ilvl="7" w:tentative="0">
      <w:start w:val="1"/>
      <w:numFmt w:val="lowerLetter"/>
      <w:lvlText w:val="%8."/>
      <w:lvlJc w:val="left"/>
      <w:pPr>
        <w:ind w:left="6086" w:hanging="360"/>
      </w:pPr>
    </w:lvl>
    <w:lvl w:ilvl="8" w:tentative="0">
      <w:start w:val="1"/>
      <w:numFmt w:val="lowerRoman"/>
      <w:lvlText w:val="%9."/>
      <w:lvlJc w:val="right"/>
      <w:pPr>
        <w:ind w:left="68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87"/>
    <w:rsid w:val="00027146"/>
    <w:rsid w:val="000504A6"/>
    <w:rsid w:val="00084AC6"/>
    <w:rsid w:val="000B2EA6"/>
    <w:rsid w:val="000D55CE"/>
    <w:rsid w:val="00101709"/>
    <w:rsid w:val="001224E9"/>
    <w:rsid w:val="0012428E"/>
    <w:rsid w:val="00134393"/>
    <w:rsid w:val="0014038B"/>
    <w:rsid w:val="00153B7F"/>
    <w:rsid w:val="00154EFE"/>
    <w:rsid w:val="00181649"/>
    <w:rsid w:val="00181F0E"/>
    <w:rsid w:val="001A116F"/>
    <w:rsid w:val="001E1F75"/>
    <w:rsid w:val="001F2F57"/>
    <w:rsid w:val="00207239"/>
    <w:rsid w:val="00243998"/>
    <w:rsid w:val="002C2510"/>
    <w:rsid w:val="0030725D"/>
    <w:rsid w:val="00307F07"/>
    <w:rsid w:val="00310BCD"/>
    <w:rsid w:val="00317E08"/>
    <w:rsid w:val="0036418A"/>
    <w:rsid w:val="00364871"/>
    <w:rsid w:val="00366A00"/>
    <w:rsid w:val="0036756B"/>
    <w:rsid w:val="003A2224"/>
    <w:rsid w:val="003C0110"/>
    <w:rsid w:val="003C777F"/>
    <w:rsid w:val="003D2B1F"/>
    <w:rsid w:val="00406CF1"/>
    <w:rsid w:val="00416E4C"/>
    <w:rsid w:val="00422442"/>
    <w:rsid w:val="0043008C"/>
    <w:rsid w:val="00471864"/>
    <w:rsid w:val="00505359"/>
    <w:rsid w:val="00514AA8"/>
    <w:rsid w:val="005210F3"/>
    <w:rsid w:val="0052134B"/>
    <w:rsid w:val="00524B40"/>
    <w:rsid w:val="00535CD4"/>
    <w:rsid w:val="00586AD3"/>
    <w:rsid w:val="00592BFB"/>
    <w:rsid w:val="005A22BA"/>
    <w:rsid w:val="005F40CE"/>
    <w:rsid w:val="005F4F85"/>
    <w:rsid w:val="005F73B8"/>
    <w:rsid w:val="00611BDE"/>
    <w:rsid w:val="00637805"/>
    <w:rsid w:val="00641D45"/>
    <w:rsid w:val="006A64A6"/>
    <w:rsid w:val="006D3144"/>
    <w:rsid w:val="00700432"/>
    <w:rsid w:val="00703166"/>
    <w:rsid w:val="00732B41"/>
    <w:rsid w:val="00736B12"/>
    <w:rsid w:val="00737FC0"/>
    <w:rsid w:val="0078169D"/>
    <w:rsid w:val="00793137"/>
    <w:rsid w:val="007953DC"/>
    <w:rsid w:val="007A34B2"/>
    <w:rsid w:val="007B3ADB"/>
    <w:rsid w:val="007C48F8"/>
    <w:rsid w:val="007D2630"/>
    <w:rsid w:val="007D51CF"/>
    <w:rsid w:val="00804F3A"/>
    <w:rsid w:val="00867E8F"/>
    <w:rsid w:val="00886C34"/>
    <w:rsid w:val="00896613"/>
    <w:rsid w:val="008C4861"/>
    <w:rsid w:val="0095708E"/>
    <w:rsid w:val="009A6FC5"/>
    <w:rsid w:val="009D566E"/>
    <w:rsid w:val="00A07887"/>
    <w:rsid w:val="00A32FBD"/>
    <w:rsid w:val="00A44495"/>
    <w:rsid w:val="00A5202C"/>
    <w:rsid w:val="00A7555F"/>
    <w:rsid w:val="00A77CFF"/>
    <w:rsid w:val="00AB5D1E"/>
    <w:rsid w:val="00AC49F0"/>
    <w:rsid w:val="00B01F98"/>
    <w:rsid w:val="00B0749B"/>
    <w:rsid w:val="00B07F6F"/>
    <w:rsid w:val="00B4295F"/>
    <w:rsid w:val="00B705C3"/>
    <w:rsid w:val="00C037DE"/>
    <w:rsid w:val="00C15D8C"/>
    <w:rsid w:val="00C21AD9"/>
    <w:rsid w:val="00C36B77"/>
    <w:rsid w:val="00C60183"/>
    <w:rsid w:val="00C60C4C"/>
    <w:rsid w:val="00C77627"/>
    <w:rsid w:val="00C87A61"/>
    <w:rsid w:val="00CB21B1"/>
    <w:rsid w:val="00CB5C91"/>
    <w:rsid w:val="00CC2FFA"/>
    <w:rsid w:val="00CC532A"/>
    <w:rsid w:val="00CD536C"/>
    <w:rsid w:val="00CF1E27"/>
    <w:rsid w:val="00D464C4"/>
    <w:rsid w:val="00D635C1"/>
    <w:rsid w:val="00D813CD"/>
    <w:rsid w:val="00D863CD"/>
    <w:rsid w:val="00DB5375"/>
    <w:rsid w:val="00DC78CF"/>
    <w:rsid w:val="00DD2F1B"/>
    <w:rsid w:val="00DD3476"/>
    <w:rsid w:val="00DD4FB6"/>
    <w:rsid w:val="00DD6F4A"/>
    <w:rsid w:val="00DE614B"/>
    <w:rsid w:val="00DF7B8E"/>
    <w:rsid w:val="00E013EE"/>
    <w:rsid w:val="00E12DE0"/>
    <w:rsid w:val="00E24678"/>
    <w:rsid w:val="00E35DFA"/>
    <w:rsid w:val="00E4466C"/>
    <w:rsid w:val="00E479EF"/>
    <w:rsid w:val="00E7283C"/>
    <w:rsid w:val="00EA2264"/>
    <w:rsid w:val="00ED08A3"/>
    <w:rsid w:val="00EE65BD"/>
    <w:rsid w:val="00F05F73"/>
    <w:rsid w:val="00F32342"/>
    <w:rsid w:val="00F4339D"/>
    <w:rsid w:val="00F60461"/>
    <w:rsid w:val="00FC53C3"/>
    <w:rsid w:val="1FCDB03F"/>
    <w:rsid w:val="5FEEE3F6"/>
    <w:rsid w:val="6DB7556D"/>
    <w:rsid w:val="73BF6A37"/>
    <w:rsid w:val="75BFE242"/>
    <w:rsid w:val="7BD35ACC"/>
    <w:rsid w:val="7E9D49FC"/>
    <w:rsid w:val="7FEFEA7F"/>
    <w:rsid w:val="9DFE4D95"/>
    <w:rsid w:val="ABBE34E8"/>
    <w:rsid w:val="BFFDF763"/>
    <w:rsid w:val="DA7EAED7"/>
    <w:rsid w:val="DEFF4E26"/>
    <w:rsid w:val="DFF3894F"/>
    <w:rsid w:val="F57FE104"/>
    <w:rsid w:val="F7547790"/>
    <w:rsid w:val="FDEC5284"/>
    <w:rsid w:val="FEEFDE4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character" w:default="1" w:styleId="8">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pPr>
      <w:spacing w:after="0" w:line="240" w:lineRule="auto"/>
    </w:pPr>
    <w:rPr>
      <w:rFonts w:ascii="Segoe UI" w:hAnsi="Segoe UI" w:cs="Segoe UI"/>
      <w:sz w:val="18"/>
      <w:szCs w:val="18"/>
    </w:rPr>
  </w:style>
  <w:style w:type="paragraph" w:styleId="3">
    <w:name w:val="annotation text"/>
    <w:basedOn w:val="1"/>
    <w:link w:val="14"/>
    <w:unhideWhenUsed/>
    <w:qFormat/>
    <w:uiPriority w:val="99"/>
    <w:pPr>
      <w:spacing w:line="240" w:lineRule="auto"/>
    </w:pPr>
    <w:rPr>
      <w:sz w:val="20"/>
      <w:szCs w:val="20"/>
    </w:rPr>
  </w:style>
  <w:style w:type="paragraph" w:styleId="4">
    <w:name w:val="annotation subject"/>
    <w:basedOn w:val="3"/>
    <w:next w:val="3"/>
    <w:link w:val="15"/>
    <w:unhideWhenUsed/>
    <w:qFormat/>
    <w:uiPriority w:val="99"/>
    <w:rPr>
      <w:b/>
      <w:bCs/>
    </w:rPr>
  </w:style>
  <w:style w:type="paragraph" w:styleId="5">
    <w:name w:val="footer"/>
    <w:basedOn w:val="1"/>
    <w:link w:val="19"/>
    <w:unhideWhenUsed/>
    <w:qFormat/>
    <w:uiPriority w:val="99"/>
    <w:pPr>
      <w:tabs>
        <w:tab w:val="center" w:pos="4819"/>
        <w:tab w:val="right" w:pos="9639"/>
      </w:tabs>
      <w:spacing w:after="0" w:line="240" w:lineRule="auto"/>
    </w:pPr>
  </w:style>
  <w:style w:type="paragraph" w:styleId="6">
    <w:name w:val="footnote text"/>
    <w:basedOn w:val="1"/>
    <w:unhideWhenUsed/>
    <w:uiPriority w:val="99"/>
    <w:pPr>
      <w:snapToGrid w:val="0"/>
      <w:jc w:val="left"/>
    </w:pPr>
    <w:rPr>
      <w:sz w:val="18"/>
      <w:szCs w:val="18"/>
    </w:rPr>
  </w:style>
  <w:style w:type="paragraph" w:styleId="7">
    <w:name w:val="header"/>
    <w:basedOn w:val="1"/>
    <w:link w:val="18"/>
    <w:unhideWhenUsed/>
    <w:qFormat/>
    <w:uiPriority w:val="99"/>
    <w:pPr>
      <w:tabs>
        <w:tab w:val="center" w:pos="4819"/>
        <w:tab w:val="right" w:pos="9639"/>
      </w:tabs>
      <w:spacing w:after="0" w:line="240" w:lineRule="auto"/>
    </w:pPr>
  </w:style>
  <w:style w:type="character" w:styleId="9">
    <w:name w:val="annotation reference"/>
    <w:basedOn w:val="8"/>
    <w:unhideWhenUsed/>
    <w:qFormat/>
    <w:uiPriority w:val="99"/>
    <w:rPr>
      <w:sz w:val="16"/>
      <w:szCs w:val="16"/>
    </w:rPr>
  </w:style>
  <w:style w:type="character" w:styleId="10">
    <w:name w:val="footnote reference"/>
    <w:basedOn w:val="8"/>
    <w:unhideWhenUsed/>
    <w:uiPriority w:val="99"/>
    <w:rPr>
      <w:vertAlign w:val="superscript"/>
    </w:rPr>
  </w:style>
  <w:style w:type="table" w:styleId="12">
    <w:name w:val="Table Grid"/>
    <w:basedOn w:val="11"/>
    <w:qFormat/>
    <w:uiPriority w:val="9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Абзац списку1"/>
    <w:basedOn w:val="1"/>
    <w:qFormat/>
    <w:uiPriority w:val="34"/>
    <w:pPr>
      <w:ind w:left="720"/>
      <w:contextualSpacing/>
    </w:pPr>
  </w:style>
  <w:style w:type="character" w:customStyle="1" w:styleId="14">
    <w:name w:val="Текст примітки Знак"/>
    <w:basedOn w:val="8"/>
    <w:link w:val="3"/>
    <w:semiHidden/>
    <w:qFormat/>
    <w:uiPriority w:val="99"/>
    <w:rPr>
      <w:sz w:val="20"/>
      <w:szCs w:val="20"/>
    </w:rPr>
  </w:style>
  <w:style w:type="character" w:customStyle="1" w:styleId="15">
    <w:name w:val="Тема примітки Знак"/>
    <w:basedOn w:val="14"/>
    <w:link w:val="4"/>
    <w:semiHidden/>
    <w:qFormat/>
    <w:uiPriority w:val="99"/>
    <w:rPr>
      <w:b/>
      <w:bCs/>
      <w:sz w:val="20"/>
      <w:szCs w:val="20"/>
    </w:rPr>
  </w:style>
  <w:style w:type="character" w:customStyle="1" w:styleId="16">
    <w:name w:val="Текст у виносці Знак"/>
    <w:basedOn w:val="8"/>
    <w:link w:val="2"/>
    <w:semiHidden/>
    <w:qFormat/>
    <w:uiPriority w:val="99"/>
    <w:rPr>
      <w:rFonts w:ascii="Segoe UI" w:hAnsi="Segoe UI" w:cs="Segoe UI"/>
      <w:sz w:val="18"/>
      <w:szCs w:val="18"/>
    </w:rPr>
  </w:style>
  <w:style w:type="paragraph" w:customStyle="1" w:styleId="17">
    <w:name w:val="Редакція1"/>
    <w:hidden/>
    <w:semiHidden/>
    <w:qFormat/>
    <w:uiPriority w:val="99"/>
    <w:pPr>
      <w:spacing w:after="0" w:line="240" w:lineRule="auto"/>
    </w:pPr>
    <w:rPr>
      <w:rFonts w:asciiTheme="minorHAnsi" w:hAnsiTheme="minorHAnsi" w:eastAsiaTheme="minorHAnsi" w:cstheme="minorBidi"/>
      <w:sz w:val="22"/>
      <w:szCs w:val="22"/>
      <w:lang w:val="uk-UA" w:eastAsia="en-US" w:bidi="ar-SA"/>
    </w:rPr>
  </w:style>
  <w:style w:type="character" w:customStyle="1" w:styleId="18">
    <w:name w:val="Верхній колонтитул Знак"/>
    <w:basedOn w:val="8"/>
    <w:link w:val="7"/>
    <w:qFormat/>
    <w:uiPriority w:val="99"/>
  </w:style>
  <w:style w:type="character" w:customStyle="1" w:styleId="19">
    <w:name w:val="Нижній колонтитул Знак"/>
    <w:basedOn w:val="8"/>
    <w:link w:val="5"/>
    <w:qFormat/>
    <w:uiPriority w:val="99"/>
  </w:style>
  <w:style w:type="paragraph" w:customStyle="1" w:styleId="20">
    <w:name w:val="Revision"/>
    <w:hidden/>
    <w:semiHidden/>
    <w:qFormat/>
    <w:uiPriority w:val="99"/>
    <w:pPr>
      <w:spacing w:after="0" w:line="240" w:lineRule="auto"/>
    </w:pPr>
    <w:rPr>
      <w:rFonts w:asciiTheme="minorHAnsi" w:hAnsiTheme="minorHAnsi" w:eastAsiaTheme="minorHAnsi" w:cstheme="minorBidi"/>
      <w:sz w:val="22"/>
      <w:szCs w:val="22"/>
      <w:lang w:val="uk-UA"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NBU</Company>
  <Pages>6</Pages>
  <Words>6921</Words>
  <Characters>3946</Characters>
  <Lines>32</Lines>
  <Paragraphs>21</Paragraphs>
  <TotalTime>0</TotalTime>
  <ScaleCrop>false</ScaleCrop>
  <LinksUpToDate>false</LinksUpToDate>
  <CharactersWithSpaces>10846</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2022-12-05T13:15:00Z</dcterms:created>
  <dc:creator>Гетьман Анна Данилівна</dc:creator>
  <cp:lastModifiedBy>irynapinchuk012725</cp:lastModifiedBy>
  <dcterms:modified xsi:type="dcterms:W3CDTF">2022-12-06T21:19:01Z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