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Звіт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про базове відстеження результативності регуляторного акта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постанови Правління Національного банку України від 09 липня </w:t>
        <w:br w:type="textWrapping"/>
        <w:t xml:space="preserve">2021 року № 74 “Про затвердження 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rsidR="00000000" w:rsidDel="00000000" w:rsidP="00000000" w:rsidRDefault="00000000" w:rsidRPr="00000000" w14:paraId="00000004">
      <w:pPr>
        <w:ind w:firstLine="708"/>
        <w:jc w:val="both"/>
        <w:rPr>
          <w:b w:val="1"/>
          <w:sz w:val="28"/>
          <w:szCs w:val="28"/>
        </w:rPr>
      </w:pPr>
      <w:r w:rsidDel="00000000" w:rsidR="00000000" w:rsidRPr="00000000">
        <w:rPr>
          <w:rtl w:val="0"/>
        </w:rPr>
      </w:r>
    </w:p>
    <w:p w:rsidR="00000000" w:rsidDel="00000000" w:rsidP="00000000" w:rsidRDefault="00000000" w:rsidRPr="00000000" w14:paraId="00000005">
      <w:pPr>
        <w:ind w:firstLine="708"/>
        <w:jc w:val="both"/>
        <w:rPr>
          <w:b w:val="1"/>
          <w:sz w:val="28"/>
          <w:szCs w:val="28"/>
        </w:rPr>
      </w:pPr>
      <w:r w:rsidDel="00000000" w:rsidR="00000000" w:rsidRPr="00000000">
        <w:rPr>
          <w:rtl w:val="0"/>
        </w:rPr>
      </w:r>
    </w:p>
    <w:p w:rsidR="00000000" w:rsidDel="00000000" w:rsidP="00000000" w:rsidRDefault="00000000" w:rsidRPr="00000000" w14:paraId="00000006">
      <w:pPr>
        <w:ind w:firstLine="708"/>
        <w:jc w:val="both"/>
        <w:rPr>
          <w:sz w:val="28"/>
          <w:szCs w:val="28"/>
        </w:rPr>
      </w:pPr>
      <w:r w:rsidDel="00000000" w:rsidR="00000000" w:rsidRPr="00000000">
        <w:rPr>
          <w:b w:val="1"/>
          <w:sz w:val="28"/>
          <w:szCs w:val="28"/>
          <w:rtl w:val="0"/>
        </w:rPr>
        <w:t xml:space="preserve">Назва виконавця заходів з відстеження </w:t>
      </w:r>
      <w:r w:rsidDel="00000000" w:rsidR="00000000" w:rsidRPr="00000000">
        <w:rPr>
          <w:rtl w:val="0"/>
        </w:rPr>
      </w:r>
    </w:p>
    <w:p w:rsidR="00000000" w:rsidDel="00000000" w:rsidP="00000000" w:rsidRDefault="00000000" w:rsidRPr="00000000" w14:paraId="00000007">
      <w:pPr>
        <w:ind w:firstLine="708"/>
        <w:jc w:val="both"/>
        <w:rPr>
          <w:sz w:val="28"/>
          <w:szCs w:val="28"/>
        </w:rPr>
      </w:pPr>
      <w:r w:rsidDel="00000000" w:rsidR="00000000" w:rsidRPr="00000000">
        <w:rPr>
          <w:sz w:val="28"/>
          <w:szCs w:val="28"/>
          <w:rtl w:val="0"/>
        </w:rPr>
        <w:t xml:space="preserve">Національний банк України (Департамент методології регулювання діяльності небанківських фінансових установ).</w:t>
      </w:r>
    </w:p>
    <w:p w:rsidR="00000000" w:rsidDel="00000000" w:rsidP="00000000" w:rsidRDefault="00000000" w:rsidRPr="00000000" w14:paraId="00000008">
      <w:pPr>
        <w:ind w:firstLine="708"/>
        <w:jc w:val="both"/>
        <w:rPr>
          <w:sz w:val="28"/>
          <w:szCs w:val="28"/>
        </w:rPr>
      </w:pPr>
      <w:r w:rsidDel="00000000" w:rsidR="00000000" w:rsidRPr="00000000">
        <w:rPr>
          <w:rtl w:val="0"/>
        </w:rPr>
      </w:r>
    </w:p>
    <w:p w:rsidR="00000000" w:rsidDel="00000000" w:rsidP="00000000" w:rsidRDefault="00000000" w:rsidRPr="00000000" w14:paraId="00000009">
      <w:pPr>
        <w:ind w:firstLine="708"/>
        <w:jc w:val="both"/>
        <w:rPr>
          <w:b w:val="1"/>
          <w:sz w:val="28"/>
          <w:szCs w:val="28"/>
        </w:rPr>
      </w:pPr>
      <w:r w:rsidDel="00000000" w:rsidR="00000000" w:rsidRPr="00000000">
        <w:rPr>
          <w:b w:val="1"/>
          <w:sz w:val="28"/>
          <w:szCs w:val="28"/>
          <w:rtl w:val="0"/>
        </w:rPr>
        <w:t xml:space="preserve">Цілі прийняття акта</w:t>
      </w:r>
    </w:p>
    <w:p w:rsidR="00000000" w:rsidDel="00000000" w:rsidP="00000000" w:rsidRDefault="00000000" w:rsidRPr="00000000" w14:paraId="0000000A">
      <w:pPr>
        <w:ind w:firstLine="708"/>
        <w:jc w:val="both"/>
        <w:rPr>
          <w:sz w:val="28"/>
          <w:szCs w:val="28"/>
        </w:rPr>
      </w:pPr>
      <w:r w:rsidDel="00000000" w:rsidR="00000000" w:rsidRPr="00000000">
        <w:rPr>
          <w:sz w:val="28"/>
          <w:szCs w:val="28"/>
          <w:rtl w:val="0"/>
        </w:rPr>
        <w:t xml:space="preserve">Постанову Правління Національного банку України від 09 липня 2021 року № 74 “Про затвердження 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(далі – регуляторний акт) прийнято з метою внормування Національним банком України (далі – Національний банк) порядку застосування заходів впливу до небанківських фінансових установ за порушення законодавства України про захист прав споживачів фінансових послуг, у тому числі вимог щодо взаємодії із споживачами під час урегулювання простроченої заборгованості (вимог щодо етичної поведінки).</w:t>
      </w:r>
    </w:p>
    <w:p w:rsidR="00000000" w:rsidDel="00000000" w:rsidP="00000000" w:rsidRDefault="00000000" w:rsidRPr="00000000" w14:paraId="0000000B">
      <w:pPr>
        <w:ind w:firstLine="708"/>
        <w:jc w:val="both"/>
        <w:rPr>
          <w:b w:val="1"/>
          <w:sz w:val="28"/>
          <w:szCs w:val="28"/>
        </w:rPr>
      </w:pPr>
      <w:r w:rsidDel="00000000" w:rsidR="00000000" w:rsidRPr="00000000">
        <w:rPr>
          <w:rtl w:val="0"/>
        </w:rPr>
      </w:r>
    </w:p>
    <w:p w:rsidR="00000000" w:rsidDel="00000000" w:rsidP="00000000" w:rsidRDefault="00000000" w:rsidRPr="00000000" w14:paraId="0000000C">
      <w:pPr>
        <w:ind w:firstLine="708"/>
        <w:jc w:val="both"/>
        <w:rPr>
          <w:b w:val="1"/>
          <w:sz w:val="28"/>
          <w:szCs w:val="28"/>
        </w:rPr>
      </w:pPr>
      <w:r w:rsidDel="00000000" w:rsidR="00000000" w:rsidRPr="00000000">
        <w:rPr>
          <w:b w:val="1"/>
          <w:sz w:val="28"/>
          <w:szCs w:val="28"/>
          <w:rtl w:val="0"/>
        </w:rPr>
        <w:t xml:space="preserve">Строк виконання заходів з відстеження</w:t>
      </w:r>
    </w:p>
    <w:p w:rsidR="00000000" w:rsidDel="00000000" w:rsidP="00000000" w:rsidRDefault="00000000" w:rsidRPr="00000000" w14:paraId="0000000D">
      <w:pPr>
        <w:ind w:firstLine="708"/>
        <w:jc w:val="both"/>
        <w:rPr>
          <w:sz w:val="28"/>
          <w:szCs w:val="28"/>
        </w:rPr>
      </w:pPr>
      <w:r w:rsidDel="00000000" w:rsidR="00000000" w:rsidRPr="00000000">
        <w:rPr>
          <w:sz w:val="28"/>
          <w:szCs w:val="28"/>
          <w:rtl w:val="0"/>
        </w:rPr>
        <w:t xml:space="preserve">Базове відстеження результативності регуляторного акта розпочато 20 червня 2022 року та закінчено 04 липня 2022 року.</w:t>
      </w:r>
    </w:p>
    <w:p w:rsidR="00000000" w:rsidDel="00000000" w:rsidP="00000000" w:rsidRDefault="00000000" w:rsidRPr="00000000" w14:paraId="0000000E">
      <w:pPr>
        <w:ind w:firstLine="708"/>
        <w:jc w:val="both"/>
        <w:rPr>
          <w:sz w:val="28"/>
          <w:szCs w:val="28"/>
        </w:rPr>
      </w:pPr>
      <w:r w:rsidDel="00000000" w:rsidR="00000000" w:rsidRPr="00000000">
        <w:rPr>
          <w:rtl w:val="0"/>
        </w:rPr>
      </w:r>
    </w:p>
    <w:p w:rsidR="00000000" w:rsidDel="00000000" w:rsidP="00000000" w:rsidRDefault="00000000" w:rsidRPr="00000000" w14:paraId="0000000F">
      <w:pPr>
        <w:ind w:firstLine="708"/>
        <w:jc w:val="both"/>
        <w:rPr>
          <w:b w:val="1"/>
          <w:sz w:val="28"/>
          <w:szCs w:val="28"/>
        </w:rPr>
      </w:pPr>
      <w:r w:rsidDel="00000000" w:rsidR="00000000" w:rsidRPr="00000000">
        <w:rPr>
          <w:b w:val="1"/>
          <w:sz w:val="28"/>
          <w:szCs w:val="28"/>
          <w:rtl w:val="0"/>
        </w:rPr>
        <w:t xml:space="preserve">Тип відстеження </w:t>
      </w:r>
    </w:p>
    <w:p w:rsidR="00000000" w:rsidDel="00000000" w:rsidP="00000000" w:rsidRDefault="00000000" w:rsidRPr="00000000" w14:paraId="00000010">
      <w:pPr>
        <w:ind w:firstLine="708"/>
        <w:jc w:val="both"/>
        <w:rPr>
          <w:sz w:val="28"/>
          <w:szCs w:val="28"/>
        </w:rPr>
      </w:pPr>
      <w:r w:rsidDel="00000000" w:rsidR="00000000" w:rsidRPr="00000000">
        <w:rPr>
          <w:sz w:val="28"/>
          <w:szCs w:val="28"/>
          <w:rtl w:val="0"/>
        </w:rPr>
        <w:t xml:space="preserve">Базове відстеження.</w:t>
      </w:r>
    </w:p>
    <w:p w:rsidR="00000000" w:rsidDel="00000000" w:rsidP="00000000" w:rsidRDefault="00000000" w:rsidRPr="00000000" w14:paraId="00000011">
      <w:pPr>
        <w:ind w:firstLine="708"/>
        <w:jc w:val="both"/>
        <w:rPr>
          <w:sz w:val="28"/>
          <w:szCs w:val="28"/>
        </w:rPr>
      </w:pPr>
      <w:r w:rsidDel="00000000" w:rsidR="00000000" w:rsidRPr="00000000">
        <w:rPr>
          <w:rtl w:val="0"/>
        </w:rPr>
      </w:r>
    </w:p>
    <w:p w:rsidR="00000000" w:rsidDel="00000000" w:rsidP="00000000" w:rsidRDefault="00000000" w:rsidRPr="00000000" w14:paraId="00000012">
      <w:pPr>
        <w:ind w:firstLine="708"/>
        <w:jc w:val="both"/>
        <w:rPr>
          <w:b w:val="1"/>
          <w:sz w:val="28"/>
          <w:szCs w:val="28"/>
        </w:rPr>
      </w:pPr>
      <w:r w:rsidDel="00000000" w:rsidR="00000000" w:rsidRPr="00000000">
        <w:rPr>
          <w:b w:val="1"/>
          <w:sz w:val="28"/>
          <w:szCs w:val="28"/>
          <w:rtl w:val="0"/>
        </w:rPr>
        <w:t xml:space="preserve">Методи одержання результатів відстеження</w:t>
      </w:r>
    </w:p>
    <w:p w:rsidR="00000000" w:rsidDel="00000000" w:rsidP="00000000" w:rsidRDefault="00000000" w:rsidRPr="00000000" w14:paraId="00000013">
      <w:pPr>
        <w:ind w:firstLine="708"/>
        <w:jc w:val="both"/>
        <w:rPr>
          <w:sz w:val="28"/>
          <w:szCs w:val="28"/>
        </w:rPr>
      </w:pPr>
      <w:r w:rsidDel="00000000" w:rsidR="00000000" w:rsidRPr="00000000">
        <w:rPr>
          <w:sz w:val="28"/>
          <w:szCs w:val="28"/>
          <w:rtl w:val="0"/>
        </w:rPr>
        <w:t xml:space="preserve">Аналіз показників результативності регуляторного акта з використанням статистичних даних.</w:t>
      </w:r>
    </w:p>
    <w:p w:rsidR="00000000" w:rsidDel="00000000" w:rsidP="00000000" w:rsidRDefault="00000000" w:rsidRPr="00000000" w14:paraId="00000014">
      <w:pPr>
        <w:ind w:firstLine="708"/>
        <w:jc w:val="both"/>
        <w:rPr>
          <w:b w:val="1"/>
          <w:sz w:val="28"/>
          <w:szCs w:val="28"/>
        </w:rPr>
      </w:pPr>
      <w:r w:rsidDel="00000000" w:rsidR="00000000" w:rsidRPr="00000000">
        <w:rPr>
          <w:rtl w:val="0"/>
        </w:rPr>
      </w:r>
    </w:p>
    <w:p w:rsidR="00000000" w:rsidDel="00000000" w:rsidP="00000000" w:rsidRDefault="00000000" w:rsidRPr="00000000" w14:paraId="00000015">
      <w:pPr>
        <w:ind w:firstLine="708"/>
        <w:jc w:val="both"/>
        <w:rPr>
          <w:b w:val="1"/>
          <w:sz w:val="28"/>
          <w:szCs w:val="28"/>
        </w:rPr>
      </w:pPr>
      <w:r w:rsidDel="00000000" w:rsidR="00000000" w:rsidRPr="00000000">
        <w:rPr>
          <w:b w:val="1"/>
          <w:sz w:val="28"/>
          <w:szCs w:val="28"/>
          <w:rtl w:val="0"/>
        </w:rPr>
        <w:t xml:space="preserve">Дані та припущення, на основі яких відстежувалася результативність, а також способи одержання даних</w:t>
      </w:r>
    </w:p>
    <w:p w:rsidR="00000000" w:rsidDel="00000000" w:rsidP="00000000" w:rsidRDefault="00000000" w:rsidRPr="00000000" w14:paraId="00000016">
      <w:pPr>
        <w:ind w:firstLine="709"/>
        <w:jc w:val="both"/>
        <w:rPr>
          <w:sz w:val="28"/>
          <w:szCs w:val="28"/>
        </w:rPr>
      </w:pPr>
      <w:r w:rsidDel="00000000" w:rsidR="00000000" w:rsidRPr="00000000">
        <w:rPr>
          <w:sz w:val="28"/>
          <w:szCs w:val="28"/>
          <w:rtl w:val="0"/>
        </w:rPr>
        <w:t xml:space="preserve">Відстеження результативності регуляторного акта проводилося на підставі набутого практичного досвіду з урахуванням статистичних даних щодо кількості учасників ринків небанківських фінансових послуг, нагляд за діяльністю яких здійснює Національний банк, на яких прямо впливає дія регуляторного акта; кількості застосованих Національним банком заходів впливу за порушення законодавства України про захист прав споживачів фінансових послуг, у тому числі вимог щодо взаємодії із споживачами під час урегулювання простроченої заборгованості (вимог щодо етичної поведінки); аналізу звернень, запитів, пропозицій небанківських фінансових установ, а також відповідних публікацій у засобах масової інформації.</w:t>
      </w:r>
    </w:p>
    <w:p w:rsidR="00000000" w:rsidDel="00000000" w:rsidP="00000000" w:rsidRDefault="00000000" w:rsidRPr="00000000" w14:paraId="00000017">
      <w:pPr>
        <w:ind w:firstLine="709"/>
        <w:jc w:val="both"/>
        <w:rPr>
          <w:sz w:val="28"/>
          <w:szCs w:val="28"/>
        </w:rPr>
      </w:pPr>
      <w:r w:rsidDel="00000000" w:rsidR="00000000" w:rsidRPr="00000000">
        <w:rPr>
          <w:rtl w:val="0"/>
        </w:rPr>
      </w:r>
    </w:p>
    <w:p w:rsidR="00000000" w:rsidDel="00000000" w:rsidP="00000000" w:rsidRDefault="00000000" w:rsidRPr="00000000" w14:paraId="00000018">
      <w:pPr>
        <w:ind w:firstLine="708"/>
        <w:jc w:val="both"/>
        <w:rPr>
          <w:b w:val="1"/>
          <w:sz w:val="28"/>
          <w:szCs w:val="28"/>
        </w:rPr>
      </w:pPr>
      <w:r w:rsidDel="00000000" w:rsidR="00000000" w:rsidRPr="00000000">
        <w:rPr>
          <w:b w:val="1"/>
          <w:sz w:val="28"/>
          <w:szCs w:val="28"/>
          <w:rtl w:val="0"/>
        </w:rPr>
        <w:t xml:space="preserve">Кількісні та якісні значення показників результативності акта</w:t>
      </w:r>
    </w:p>
    <w:p w:rsidR="00000000" w:rsidDel="00000000" w:rsidP="00000000" w:rsidRDefault="00000000" w:rsidRPr="00000000" w14:paraId="00000019">
      <w:pPr>
        <w:widowControl w:val="0"/>
        <w:spacing w:before="60" w:lineRule="auto"/>
        <w:ind w:firstLine="709"/>
        <w:jc w:val="both"/>
        <w:rPr>
          <w:sz w:val="28"/>
          <w:szCs w:val="28"/>
        </w:rPr>
      </w:pPr>
      <w:r w:rsidDel="00000000" w:rsidR="00000000" w:rsidRPr="00000000">
        <w:rPr>
          <w:sz w:val="28"/>
          <w:szCs w:val="28"/>
          <w:rtl w:val="0"/>
        </w:rPr>
        <w:t xml:space="preserve">1. Кількість учасників ринку небанківських фінансових послуг, на яких поширюється дія регуляторного акта (таблиця 1).</w:t>
      </w:r>
    </w:p>
    <w:p w:rsidR="00000000" w:rsidDel="00000000" w:rsidP="00000000" w:rsidRDefault="00000000" w:rsidRPr="00000000" w14:paraId="0000001A">
      <w:pPr>
        <w:widowControl w:val="0"/>
        <w:ind w:firstLine="709"/>
        <w:jc w:val="right"/>
        <w:rPr>
          <w:sz w:val="28"/>
          <w:szCs w:val="28"/>
          <w:highlight w:val="white"/>
        </w:rPr>
      </w:pPr>
      <w:r w:rsidDel="00000000" w:rsidR="00000000" w:rsidRPr="00000000">
        <w:rPr>
          <w:sz w:val="28"/>
          <w:szCs w:val="28"/>
          <w:highlight w:val="white"/>
          <w:rtl w:val="0"/>
        </w:rPr>
        <w:t xml:space="preserve">Таблиця 1</w:t>
      </w:r>
    </w:p>
    <w:p w:rsidR="00000000" w:rsidDel="00000000" w:rsidP="00000000" w:rsidRDefault="00000000" w:rsidRPr="00000000" w14:paraId="0000001B">
      <w:pPr>
        <w:widowControl w:val="0"/>
        <w:ind w:firstLine="709"/>
        <w:jc w:val="right"/>
        <w:rPr>
          <w:sz w:val="28"/>
          <w:szCs w:val="28"/>
          <w:highlight w:val="white"/>
        </w:rPr>
      </w:pPr>
      <w:r w:rsidDel="00000000" w:rsidR="00000000" w:rsidRPr="00000000">
        <w:rPr>
          <w:rtl w:val="0"/>
        </w:rPr>
      </w:r>
    </w:p>
    <w:tbl>
      <w:tblPr>
        <w:tblStyle w:val="Table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2410"/>
        <w:gridCol w:w="2268"/>
        <w:tblGridChange w:id="0">
          <w:tblGrid>
            <w:gridCol w:w="5103"/>
            <w:gridCol w:w="2410"/>
            <w:gridCol w:w="2268"/>
          </w:tblGrid>
        </w:tblGridChange>
      </w:tblGrid>
      <w:tr>
        <w:trPr>
          <w:cantSplit w:val="1"/>
          <w:tblHeader w:val="1"/>
        </w:trPr>
        <w:tc>
          <w:tcPr/>
          <w:p w:rsidR="00000000" w:rsidDel="00000000" w:rsidP="00000000" w:rsidRDefault="00000000" w:rsidRPr="00000000" w14:paraId="0000001C">
            <w:pPr>
              <w:widowControl w:val="0"/>
              <w:jc w:val="center"/>
              <w:rPr>
                <w:b w:val="1"/>
                <w:sz w:val="28"/>
                <w:szCs w:val="28"/>
                <w:highlight w:val="white"/>
              </w:rPr>
            </w:pPr>
            <w:r w:rsidDel="00000000" w:rsidR="00000000" w:rsidRPr="00000000">
              <w:rPr>
                <w:b w:val="1"/>
                <w:sz w:val="28"/>
                <w:szCs w:val="28"/>
                <w:highlight w:val="white"/>
                <w:rtl w:val="0"/>
              </w:rPr>
              <w:t xml:space="preserve">Учасники ринку небанківських фінансових послуг</w:t>
            </w:r>
          </w:p>
        </w:tc>
        <w:tc>
          <w:tcPr/>
          <w:p w:rsidR="00000000" w:rsidDel="00000000" w:rsidP="00000000" w:rsidRDefault="00000000" w:rsidRPr="00000000" w14:paraId="0000001D">
            <w:pPr>
              <w:widowControl w:val="0"/>
              <w:jc w:val="center"/>
              <w:rPr>
                <w:b w:val="1"/>
                <w:sz w:val="28"/>
                <w:szCs w:val="28"/>
                <w:highlight w:val="white"/>
              </w:rPr>
            </w:pPr>
            <w:r w:rsidDel="00000000" w:rsidR="00000000" w:rsidRPr="00000000">
              <w:rPr>
                <w:b w:val="1"/>
                <w:sz w:val="28"/>
                <w:szCs w:val="28"/>
                <w:highlight w:val="white"/>
                <w:rtl w:val="0"/>
              </w:rPr>
              <w:t xml:space="preserve">Кількість </w:t>
              <w:br w:type="textWrapping"/>
              <w:t xml:space="preserve">станом на 14.07.2021</w:t>
            </w:r>
          </w:p>
        </w:tc>
        <w:tc>
          <w:tcPr/>
          <w:p w:rsidR="00000000" w:rsidDel="00000000" w:rsidP="00000000" w:rsidRDefault="00000000" w:rsidRPr="00000000" w14:paraId="0000001E">
            <w:pPr>
              <w:widowControl w:val="0"/>
              <w:jc w:val="center"/>
              <w:rPr>
                <w:b w:val="1"/>
                <w:sz w:val="28"/>
                <w:szCs w:val="28"/>
                <w:highlight w:val="white"/>
              </w:rPr>
            </w:pPr>
            <w:r w:rsidDel="00000000" w:rsidR="00000000" w:rsidRPr="00000000">
              <w:rPr>
                <w:b w:val="1"/>
                <w:sz w:val="28"/>
                <w:szCs w:val="28"/>
                <w:highlight w:val="white"/>
                <w:rtl w:val="0"/>
              </w:rPr>
              <w:t xml:space="preserve">Кількість станом на 01.05.2022</w:t>
            </w:r>
          </w:p>
        </w:tc>
      </w:tr>
      <w:tr>
        <w:trPr>
          <w:cantSplit w:val="1"/>
          <w:tblHeader w:val="1"/>
        </w:trPr>
        <w:tc>
          <w:tcPr/>
          <w:p w:rsidR="00000000" w:rsidDel="00000000" w:rsidP="00000000" w:rsidRDefault="00000000" w:rsidRPr="00000000" w14:paraId="0000001F">
            <w:pPr>
              <w:widowControl w:val="0"/>
              <w:jc w:val="center"/>
              <w:rPr>
                <w:sz w:val="28"/>
                <w:szCs w:val="28"/>
                <w:highlight w:val="white"/>
              </w:rPr>
            </w:pPr>
            <w:r w:rsidDel="00000000" w:rsidR="00000000" w:rsidRPr="00000000">
              <w:rPr>
                <w:sz w:val="28"/>
                <w:szCs w:val="28"/>
                <w:highlight w:val="white"/>
                <w:rtl w:val="0"/>
              </w:rPr>
              <w:t xml:space="preserve">1</w:t>
            </w:r>
          </w:p>
        </w:tc>
        <w:tc>
          <w:tcPr/>
          <w:p w:rsidR="00000000" w:rsidDel="00000000" w:rsidP="00000000" w:rsidRDefault="00000000" w:rsidRPr="00000000" w14:paraId="00000020">
            <w:pPr>
              <w:widowControl w:val="0"/>
              <w:jc w:val="center"/>
              <w:rPr>
                <w:sz w:val="28"/>
                <w:szCs w:val="28"/>
                <w:highlight w:val="white"/>
              </w:rPr>
            </w:pPr>
            <w:r w:rsidDel="00000000" w:rsidR="00000000" w:rsidRPr="00000000">
              <w:rPr>
                <w:sz w:val="28"/>
                <w:szCs w:val="28"/>
                <w:highlight w:val="white"/>
                <w:rtl w:val="0"/>
              </w:rPr>
              <w:t xml:space="preserve">2</w:t>
            </w:r>
          </w:p>
        </w:tc>
        <w:tc>
          <w:tcPr/>
          <w:p w:rsidR="00000000" w:rsidDel="00000000" w:rsidP="00000000" w:rsidRDefault="00000000" w:rsidRPr="00000000" w14:paraId="00000021">
            <w:pPr>
              <w:widowControl w:val="0"/>
              <w:jc w:val="center"/>
              <w:rPr>
                <w:sz w:val="28"/>
                <w:szCs w:val="28"/>
                <w:highlight w:val="white"/>
              </w:rPr>
            </w:pPr>
            <w:r w:rsidDel="00000000" w:rsidR="00000000" w:rsidRPr="00000000">
              <w:rPr>
                <w:sz w:val="28"/>
                <w:szCs w:val="28"/>
                <w:highlight w:val="white"/>
                <w:rtl w:val="0"/>
              </w:rPr>
              <w:t xml:space="preserve">3</w:t>
            </w:r>
          </w:p>
        </w:tc>
      </w:tr>
      <w:tr>
        <w:trPr>
          <w:cantSplit w:val="1"/>
          <w:tblHeader w:val="1"/>
        </w:trPr>
        <w:tc>
          <w:tcPr/>
          <w:p w:rsidR="00000000" w:rsidDel="00000000" w:rsidP="00000000" w:rsidRDefault="00000000" w:rsidRPr="00000000" w14:paraId="00000022">
            <w:pPr>
              <w:widowControl w:val="0"/>
              <w:rPr>
                <w:b w:val="1"/>
                <w:sz w:val="28"/>
                <w:szCs w:val="28"/>
                <w:highlight w:val="white"/>
              </w:rPr>
            </w:pPr>
            <w:r w:rsidDel="00000000" w:rsidR="00000000" w:rsidRPr="00000000">
              <w:rPr>
                <w:b w:val="1"/>
                <w:sz w:val="28"/>
                <w:szCs w:val="28"/>
                <w:highlight w:val="white"/>
                <w:rtl w:val="0"/>
              </w:rPr>
              <w:t xml:space="preserve">Кількість учасників, із них:</w:t>
            </w:r>
          </w:p>
        </w:tc>
        <w:tc>
          <w:tcPr/>
          <w:p w:rsidR="00000000" w:rsidDel="00000000" w:rsidP="00000000" w:rsidRDefault="00000000" w:rsidRPr="00000000" w14:paraId="00000023">
            <w:pPr>
              <w:widowControl w:val="0"/>
              <w:jc w:val="center"/>
              <w:rPr>
                <w:sz w:val="28"/>
                <w:szCs w:val="28"/>
                <w:highlight w:val="white"/>
              </w:rPr>
            </w:pPr>
            <w:r w:rsidDel="00000000" w:rsidR="00000000" w:rsidRPr="00000000">
              <w:rPr>
                <w:rtl w:val="0"/>
              </w:rPr>
            </w:r>
          </w:p>
        </w:tc>
        <w:tc>
          <w:tcPr/>
          <w:p w:rsidR="00000000" w:rsidDel="00000000" w:rsidP="00000000" w:rsidRDefault="00000000" w:rsidRPr="00000000" w14:paraId="00000024">
            <w:pPr>
              <w:widowControl w:val="0"/>
              <w:jc w:val="center"/>
              <w:rPr>
                <w:sz w:val="28"/>
                <w:szCs w:val="28"/>
                <w:highlight w:val="white"/>
              </w:rPr>
            </w:pPr>
            <w:r w:rsidDel="00000000" w:rsidR="00000000" w:rsidRPr="00000000">
              <w:rPr>
                <w:rtl w:val="0"/>
              </w:rPr>
            </w:r>
          </w:p>
        </w:tc>
      </w:tr>
      <w:tr>
        <w:trPr>
          <w:cantSplit w:val="1"/>
          <w:tblHeader w:val="1"/>
        </w:trPr>
        <w:tc>
          <w:tcPr/>
          <w:p w:rsidR="00000000" w:rsidDel="00000000" w:rsidP="00000000" w:rsidRDefault="00000000" w:rsidRPr="00000000" w14:paraId="00000025">
            <w:pPr>
              <w:widowControl w:val="0"/>
              <w:ind w:left="34" w:firstLine="0"/>
              <w:rPr>
                <w:b w:val="1"/>
                <w:sz w:val="28"/>
                <w:szCs w:val="28"/>
                <w:highlight w:val="white"/>
              </w:rPr>
            </w:pPr>
            <w:r w:rsidDel="00000000" w:rsidR="00000000" w:rsidRPr="00000000">
              <w:rPr>
                <w:b w:val="1"/>
                <w:sz w:val="28"/>
                <w:szCs w:val="28"/>
                <w:rtl w:val="0"/>
              </w:rPr>
              <w:t xml:space="preserve">Кредитні спілки</w:t>
            </w:r>
            <w:r w:rsidDel="00000000" w:rsidR="00000000" w:rsidRPr="00000000">
              <w:rPr>
                <w:rtl w:val="0"/>
              </w:rPr>
            </w:r>
          </w:p>
        </w:tc>
        <w:tc>
          <w:tcPr/>
          <w:p w:rsidR="00000000" w:rsidDel="00000000" w:rsidP="00000000" w:rsidRDefault="00000000" w:rsidRPr="00000000" w14:paraId="00000026">
            <w:pPr>
              <w:widowControl w:val="0"/>
              <w:jc w:val="center"/>
              <w:rPr>
                <w:sz w:val="28"/>
                <w:szCs w:val="28"/>
              </w:rPr>
            </w:pPr>
            <w:r w:rsidDel="00000000" w:rsidR="00000000" w:rsidRPr="00000000">
              <w:rPr>
                <w:sz w:val="28"/>
                <w:szCs w:val="28"/>
                <w:rtl w:val="0"/>
              </w:rPr>
              <w:t xml:space="preserve">306</w:t>
            </w:r>
          </w:p>
        </w:tc>
        <w:tc>
          <w:tcPr/>
          <w:p w:rsidR="00000000" w:rsidDel="00000000" w:rsidP="00000000" w:rsidRDefault="00000000" w:rsidRPr="00000000" w14:paraId="00000027">
            <w:pPr>
              <w:widowControl w:val="0"/>
              <w:jc w:val="center"/>
              <w:rPr>
                <w:sz w:val="28"/>
                <w:szCs w:val="28"/>
              </w:rPr>
            </w:pPr>
            <w:r w:rsidDel="00000000" w:rsidR="00000000" w:rsidRPr="00000000">
              <w:rPr>
                <w:sz w:val="28"/>
                <w:szCs w:val="28"/>
                <w:rtl w:val="0"/>
              </w:rPr>
              <w:t xml:space="preserve">187</w:t>
            </w:r>
          </w:p>
        </w:tc>
      </w:tr>
      <w:tr>
        <w:trPr>
          <w:cantSplit w:val="1"/>
          <w:tblHeader w:val="1"/>
        </w:trPr>
        <w:tc>
          <w:tcPr/>
          <w:p w:rsidR="00000000" w:rsidDel="00000000" w:rsidP="00000000" w:rsidRDefault="00000000" w:rsidRPr="00000000" w14:paraId="00000028">
            <w:pPr>
              <w:widowControl w:val="0"/>
              <w:ind w:left="318" w:firstLine="0"/>
              <w:rPr>
                <w:sz w:val="28"/>
                <w:szCs w:val="28"/>
              </w:rPr>
            </w:pPr>
            <w:r w:rsidDel="00000000" w:rsidR="00000000" w:rsidRPr="00000000">
              <w:rPr>
                <w:sz w:val="28"/>
                <w:szCs w:val="28"/>
                <w:rtl w:val="0"/>
              </w:rPr>
              <w:t xml:space="preserve">кредитні спілки, які мають ліцензію на надання коштів у позику, у тому числі на умовах фінансового кредиту</w:t>
            </w:r>
          </w:p>
        </w:tc>
        <w:tc>
          <w:tcPr/>
          <w:p w:rsidR="00000000" w:rsidDel="00000000" w:rsidP="00000000" w:rsidRDefault="00000000" w:rsidRPr="00000000" w14:paraId="00000029">
            <w:pPr>
              <w:widowControl w:val="0"/>
              <w:jc w:val="center"/>
              <w:rPr>
                <w:sz w:val="28"/>
                <w:szCs w:val="28"/>
              </w:rPr>
            </w:pPr>
            <w:r w:rsidDel="00000000" w:rsidR="00000000" w:rsidRPr="00000000">
              <w:rPr>
                <w:sz w:val="28"/>
                <w:szCs w:val="28"/>
                <w:rtl w:val="0"/>
              </w:rPr>
              <w:t xml:space="preserve">205</w:t>
            </w:r>
          </w:p>
        </w:tc>
        <w:tc>
          <w:tcPr/>
          <w:p w:rsidR="00000000" w:rsidDel="00000000" w:rsidP="00000000" w:rsidRDefault="00000000" w:rsidRPr="00000000" w14:paraId="0000002A">
            <w:pPr>
              <w:widowControl w:val="0"/>
              <w:jc w:val="center"/>
              <w:rPr>
                <w:sz w:val="28"/>
                <w:szCs w:val="28"/>
              </w:rPr>
            </w:pPr>
            <w:r w:rsidDel="00000000" w:rsidR="00000000" w:rsidRPr="00000000">
              <w:rPr>
                <w:sz w:val="28"/>
                <w:szCs w:val="28"/>
                <w:rtl w:val="0"/>
              </w:rPr>
              <w:t xml:space="preserve">184</w:t>
            </w:r>
          </w:p>
        </w:tc>
      </w:tr>
      <w:tr>
        <w:trPr>
          <w:cantSplit w:val="1"/>
          <w:tblHeader w:val="1"/>
        </w:trPr>
        <w:tc>
          <w:tcPr/>
          <w:p w:rsidR="00000000" w:rsidDel="00000000" w:rsidP="00000000" w:rsidRDefault="00000000" w:rsidRPr="00000000" w14:paraId="0000002B">
            <w:pPr>
              <w:widowControl w:val="0"/>
              <w:rPr>
                <w:b w:val="1"/>
                <w:sz w:val="28"/>
                <w:szCs w:val="28"/>
              </w:rPr>
            </w:pPr>
            <w:r w:rsidDel="00000000" w:rsidR="00000000" w:rsidRPr="00000000">
              <w:rPr>
                <w:b w:val="1"/>
                <w:sz w:val="28"/>
                <w:szCs w:val="28"/>
                <w:rtl w:val="0"/>
              </w:rPr>
              <w:t xml:space="preserve">Фінансові компанії</w:t>
            </w:r>
          </w:p>
        </w:tc>
        <w:tc>
          <w:tcPr/>
          <w:p w:rsidR="00000000" w:rsidDel="00000000" w:rsidP="00000000" w:rsidRDefault="00000000" w:rsidRPr="00000000" w14:paraId="0000002C">
            <w:pPr>
              <w:widowControl w:val="0"/>
              <w:jc w:val="center"/>
              <w:rPr>
                <w:sz w:val="28"/>
                <w:szCs w:val="28"/>
              </w:rPr>
            </w:pPr>
            <w:r w:rsidDel="00000000" w:rsidR="00000000" w:rsidRPr="00000000">
              <w:rPr>
                <w:sz w:val="28"/>
                <w:szCs w:val="28"/>
                <w:rtl w:val="0"/>
              </w:rPr>
              <w:t xml:space="preserve">972</w:t>
            </w:r>
          </w:p>
        </w:tc>
        <w:tc>
          <w:tcPr/>
          <w:p w:rsidR="00000000" w:rsidDel="00000000" w:rsidP="00000000" w:rsidRDefault="00000000" w:rsidRPr="00000000" w14:paraId="0000002D">
            <w:pPr>
              <w:widowControl w:val="0"/>
              <w:jc w:val="center"/>
              <w:rPr>
                <w:sz w:val="28"/>
                <w:szCs w:val="28"/>
              </w:rPr>
            </w:pPr>
            <w:r w:rsidDel="00000000" w:rsidR="00000000" w:rsidRPr="00000000">
              <w:rPr>
                <w:sz w:val="28"/>
                <w:szCs w:val="28"/>
                <w:rtl w:val="0"/>
              </w:rPr>
              <w:t xml:space="preserve">894</w:t>
            </w:r>
          </w:p>
        </w:tc>
      </w:tr>
      <w:tr>
        <w:trPr>
          <w:cantSplit w:val="1"/>
          <w:tblHeader w:val="1"/>
        </w:trPr>
        <w:tc>
          <w:tcPr/>
          <w:p w:rsidR="00000000" w:rsidDel="00000000" w:rsidP="00000000" w:rsidRDefault="00000000" w:rsidRPr="00000000" w14:paraId="0000002E">
            <w:pPr>
              <w:widowControl w:val="0"/>
              <w:ind w:left="318" w:firstLine="0"/>
              <w:rPr>
                <w:sz w:val="28"/>
                <w:szCs w:val="28"/>
              </w:rPr>
            </w:pPr>
            <w:r w:rsidDel="00000000" w:rsidR="00000000" w:rsidRPr="00000000">
              <w:rPr>
                <w:sz w:val="28"/>
                <w:szCs w:val="28"/>
                <w:rtl w:val="0"/>
              </w:rPr>
              <w:t xml:space="preserve">фінансові компанії, які мають ліцензію на надання послуг з факторингу</w:t>
            </w:r>
          </w:p>
        </w:tc>
        <w:tc>
          <w:tcPr/>
          <w:p w:rsidR="00000000" w:rsidDel="00000000" w:rsidP="00000000" w:rsidRDefault="00000000" w:rsidRPr="00000000" w14:paraId="0000002F">
            <w:pPr>
              <w:widowControl w:val="0"/>
              <w:jc w:val="center"/>
              <w:rPr>
                <w:sz w:val="28"/>
                <w:szCs w:val="28"/>
              </w:rPr>
            </w:pPr>
            <w:r w:rsidDel="00000000" w:rsidR="00000000" w:rsidRPr="00000000">
              <w:rPr>
                <w:sz w:val="28"/>
                <w:szCs w:val="28"/>
                <w:rtl w:val="0"/>
              </w:rPr>
              <w:t xml:space="preserve">698</w:t>
            </w:r>
          </w:p>
        </w:tc>
        <w:tc>
          <w:tcPr/>
          <w:p w:rsidR="00000000" w:rsidDel="00000000" w:rsidP="00000000" w:rsidRDefault="00000000" w:rsidRPr="00000000" w14:paraId="00000030">
            <w:pPr>
              <w:widowControl w:val="0"/>
              <w:jc w:val="center"/>
              <w:rPr>
                <w:sz w:val="28"/>
                <w:szCs w:val="28"/>
              </w:rPr>
            </w:pPr>
            <w:r w:rsidDel="00000000" w:rsidR="00000000" w:rsidRPr="00000000">
              <w:rPr>
                <w:sz w:val="28"/>
                <w:szCs w:val="28"/>
                <w:rtl w:val="0"/>
              </w:rPr>
              <w:t xml:space="preserve">685</w:t>
            </w:r>
          </w:p>
        </w:tc>
      </w:tr>
      <w:tr>
        <w:trPr>
          <w:cantSplit w:val="1"/>
          <w:tblHeader w:val="1"/>
        </w:trPr>
        <w:tc>
          <w:tcPr/>
          <w:p w:rsidR="00000000" w:rsidDel="00000000" w:rsidP="00000000" w:rsidRDefault="00000000" w:rsidRPr="00000000" w14:paraId="00000031">
            <w:pPr>
              <w:widowControl w:val="0"/>
              <w:ind w:left="318" w:firstLine="0"/>
              <w:rPr>
                <w:sz w:val="28"/>
                <w:szCs w:val="28"/>
              </w:rPr>
            </w:pPr>
            <w:r w:rsidDel="00000000" w:rsidR="00000000" w:rsidRPr="00000000">
              <w:rPr>
                <w:sz w:val="28"/>
                <w:szCs w:val="28"/>
                <w:rtl w:val="0"/>
              </w:rPr>
              <w:t xml:space="preserve">фінансові компанії, які мають ліцензію на надання коштів у позику, у тому числі на умовах фінансового кредиту</w:t>
            </w:r>
          </w:p>
        </w:tc>
        <w:tc>
          <w:tcPr/>
          <w:p w:rsidR="00000000" w:rsidDel="00000000" w:rsidP="00000000" w:rsidRDefault="00000000" w:rsidRPr="00000000" w14:paraId="00000032">
            <w:pPr>
              <w:widowControl w:val="0"/>
              <w:jc w:val="center"/>
              <w:rPr>
                <w:sz w:val="28"/>
                <w:szCs w:val="28"/>
              </w:rPr>
            </w:pPr>
            <w:r w:rsidDel="00000000" w:rsidR="00000000" w:rsidRPr="00000000">
              <w:rPr>
                <w:sz w:val="28"/>
                <w:szCs w:val="28"/>
                <w:rtl w:val="0"/>
              </w:rPr>
              <w:t xml:space="preserve">751</w:t>
            </w:r>
          </w:p>
        </w:tc>
        <w:tc>
          <w:tcPr/>
          <w:p w:rsidR="00000000" w:rsidDel="00000000" w:rsidP="00000000" w:rsidRDefault="00000000" w:rsidRPr="00000000" w14:paraId="00000033">
            <w:pPr>
              <w:widowControl w:val="0"/>
              <w:jc w:val="center"/>
              <w:rPr>
                <w:sz w:val="28"/>
                <w:szCs w:val="28"/>
              </w:rPr>
            </w:pPr>
            <w:r w:rsidDel="00000000" w:rsidR="00000000" w:rsidRPr="00000000">
              <w:rPr>
                <w:sz w:val="28"/>
                <w:szCs w:val="28"/>
                <w:rtl w:val="0"/>
              </w:rPr>
              <w:t xml:space="preserve">743</w:t>
            </w:r>
          </w:p>
        </w:tc>
      </w:tr>
      <w:tr>
        <w:trPr>
          <w:cantSplit w:val="1"/>
          <w:tblHeader w:val="1"/>
        </w:trPr>
        <w:tc>
          <w:tcPr/>
          <w:p w:rsidR="00000000" w:rsidDel="00000000" w:rsidP="00000000" w:rsidRDefault="00000000" w:rsidRPr="00000000" w14:paraId="00000034">
            <w:pPr>
              <w:widowControl w:val="0"/>
              <w:ind w:left="34" w:firstLine="0"/>
              <w:rPr>
                <w:b w:val="1"/>
                <w:sz w:val="28"/>
                <w:szCs w:val="28"/>
                <w:highlight w:val="white"/>
              </w:rPr>
            </w:pPr>
            <w:r w:rsidDel="00000000" w:rsidR="00000000" w:rsidRPr="00000000">
              <w:rPr>
                <w:b w:val="1"/>
                <w:sz w:val="28"/>
                <w:szCs w:val="28"/>
                <w:rtl w:val="0"/>
              </w:rPr>
              <w:t xml:space="preserve">Ломбарди</w:t>
            </w:r>
            <w:r w:rsidDel="00000000" w:rsidR="00000000" w:rsidRPr="00000000">
              <w:rPr>
                <w:rtl w:val="0"/>
              </w:rPr>
            </w:r>
          </w:p>
        </w:tc>
        <w:tc>
          <w:tcPr/>
          <w:p w:rsidR="00000000" w:rsidDel="00000000" w:rsidP="00000000" w:rsidRDefault="00000000" w:rsidRPr="00000000" w14:paraId="00000035">
            <w:pPr>
              <w:widowControl w:val="0"/>
              <w:jc w:val="center"/>
              <w:rPr>
                <w:sz w:val="28"/>
                <w:szCs w:val="28"/>
              </w:rPr>
            </w:pPr>
            <w:r w:rsidDel="00000000" w:rsidR="00000000" w:rsidRPr="00000000">
              <w:rPr>
                <w:sz w:val="28"/>
                <w:szCs w:val="28"/>
                <w:rtl w:val="0"/>
              </w:rPr>
              <w:t xml:space="preserve">287</w:t>
            </w:r>
          </w:p>
        </w:tc>
        <w:tc>
          <w:tcPr/>
          <w:p w:rsidR="00000000" w:rsidDel="00000000" w:rsidP="00000000" w:rsidRDefault="00000000" w:rsidRPr="00000000" w14:paraId="00000036">
            <w:pPr>
              <w:widowControl w:val="0"/>
              <w:jc w:val="center"/>
              <w:rPr>
                <w:sz w:val="28"/>
                <w:szCs w:val="28"/>
              </w:rPr>
            </w:pPr>
            <w:r w:rsidDel="00000000" w:rsidR="00000000" w:rsidRPr="00000000">
              <w:rPr>
                <w:sz w:val="28"/>
                <w:szCs w:val="28"/>
                <w:rtl w:val="0"/>
              </w:rPr>
              <w:t xml:space="preserve">197</w:t>
            </w:r>
          </w:p>
        </w:tc>
      </w:tr>
      <w:tr>
        <w:trPr>
          <w:cantSplit w:val="1"/>
          <w:tblHeader w:val="1"/>
        </w:trPr>
        <w:tc>
          <w:tcPr/>
          <w:p w:rsidR="00000000" w:rsidDel="00000000" w:rsidP="00000000" w:rsidRDefault="00000000" w:rsidRPr="00000000" w14:paraId="00000037">
            <w:pPr>
              <w:widowControl w:val="0"/>
              <w:ind w:left="318" w:firstLine="0"/>
              <w:rPr>
                <w:sz w:val="28"/>
                <w:szCs w:val="28"/>
              </w:rPr>
            </w:pPr>
            <w:r w:rsidDel="00000000" w:rsidR="00000000" w:rsidRPr="00000000">
              <w:rPr>
                <w:sz w:val="28"/>
                <w:szCs w:val="28"/>
                <w:rtl w:val="0"/>
              </w:rPr>
              <w:t xml:space="preserve">ломбарди, які мають ліцензію на надання коштів у позику, у тому числі на умовах фінансового кредиту</w:t>
            </w:r>
          </w:p>
        </w:tc>
        <w:tc>
          <w:tcPr/>
          <w:p w:rsidR="00000000" w:rsidDel="00000000" w:rsidP="00000000" w:rsidRDefault="00000000" w:rsidRPr="00000000" w14:paraId="00000038">
            <w:pPr>
              <w:widowControl w:val="0"/>
              <w:jc w:val="center"/>
              <w:rPr>
                <w:sz w:val="28"/>
                <w:szCs w:val="28"/>
              </w:rPr>
            </w:pPr>
            <w:r w:rsidDel="00000000" w:rsidR="00000000" w:rsidRPr="00000000">
              <w:rPr>
                <w:sz w:val="28"/>
                <w:szCs w:val="28"/>
                <w:rtl w:val="0"/>
              </w:rPr>
              <w:t xml:space="preserve">211</w:t>
            </w:r>
          </w:p>
        </w:tc>
        <w:tc>
          <w:tcPr/>
          <w:p w:rsidR="00000000" w:rsidDel="00000000" w:rsidP="00000000" w:rsidRDefault="00000000" w:rsidRPr="00000000" w14:paraId="00000039">
            <w:pPr>
              <w:widowControl w:val="0"/>
              <w:jc w:val="center"/>
              <w:rPr>
                <w:sz w:val="28"/>
                <w:szCs w:val="28"/>
              </w:rPr>
            </w:pPr>
            <w:r w:rsidDel="00000000" w:rsidR="00000000" w:rsidRPr="00000000">
              <w:rPr>
                <w:sz w:val="28"/>
                <w:szCs w:val="28"/>
                <w:rtl w:val="0"/>
              </w:rPr>
              <w:t xml:space="preserve">194</w:t>
            </w:r>
          </w:p>
        </w:tc>
      </w:tr>
      <w:tr>
        <w:trPr>
          <w:cantSplit w:val="1"/>
          <w:tblHeader w:val="1"/>
        </w:trPr>
        <w:tc>
          <w:tcPr/>
          <w:p w:rsidR="00000000" w:rsidDel="00000000" w:rsidP="00000000" w:rsidRDefault="00000000" w:rsidRPr="00000000" w14:paraId="0000003A">
            <w:pPr>
              <w:widowControl w:val="0"/>
              <w:ind w:left="318" w:firstLine="0"/>
              <w:rPr>
                <w:sz w:val="28"/>
                <w:szCs w:val="28"/>
              </w:rPr>
            </w:pPr>
            <w:r w:rsidDel="00000000" w:rsidR="00000000" w:rsidRPr="00000000">
              <w:rPr>
                <w:sz w:val="28"/>
                <w:szCs w:val="28"/>
                <w:rtl w:val="0"/>
              </w:rPr>
              <w:t xml:space="preserve">установи – колекторські компанії</w:t>
            </w:r>
          </w:p>
        </w:tc>
        <w:tc>
          <w:tcPr/>
          <w:p w:rsidR="00000000" w:rsidDel="00000000" w:rsidP="00000000" w:rsidRDefault="00000000" w:rsidRPr="00000000" w14:paraId="0000003B">
            <w:pPr>
              <w:widowControl w:val="0"/>
              <w:jc w:val="center"/>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03C">
            <w:pPr>
              <w:widowControl w:val="0"/>
              <w:jc w:val="center"/>
              <w:rPr>
                <w:sz w:val="28"/>
                <w:szCs w:val="28"/>
              </w:rPr>
            </w:pPr>
            <w:r w:rsidDel="00000000" w:rsidR="00000000" w:rsidRPr="00000000">
              <w:rPr>
                <w:sz w:val="28"/>
                <w:szCs w:val="28"/>
                <w:rtl w:val="0"/>
              </w:rPr>
              <w:t xml:space="preserve">67</w:t>
            </w:r>
          </w:p>
        </w:tc>
      </w:tr>
    </w:tbl>
    <w:p w:rsidR="00000000" w:rsidDel="00000000" w:rsidP="00000000" w:rsidRDefault="00000000" w:rsidRPr="00000000" w14:paraId="0000003D">
      <w:pPr>
        <w:ind w:firstLine="709"/>
        <w:jc w:val="both"/>
        <w:rPr>
          <w:sz w:val="28"/>
          <w:szCs w:val="28"/>
          <w:highlight w:val="white"/>
        </w:rPr>
      </w:pPr>
      <w:r w:rsidDel="00000000" w:rsidR="00000000" w:rsidRPr="00000000">
        <w:rPr>
          <w:rtl w:val="0"/>
        </w:rPr>
      </w:r>
    </w:p>
    <w:p w:rsidR="00000000" w:rsidDel="00000000" w:rsidP="00000000" w:rsidRDefault="00000000" w:rsidRPr="00000000" w14:paraId="0000003E">
      <w:pPr>
        <w:ind w:firstLine="709"/>
        <w:jc w:val="both"/>
        <w:rPr>
          <w:sz w:val="28"/>
          <w:szCs w:val="28"/>
          <w:highlight w:val="white"/>
        </w:rPr>
      </w:pPr>
      <w:r w:rsidDel="00000000" w:rsidR="00000000" w:rsidRPr="00000000">
        <w:rPr>
          <w:rtl w:val="0"/>
        </w:rPr>
      </w:r>
    </w:p>
    <w:p w:rsidR="00000000" w:rsidDel="00000000" w:rsidP="00000000" w:rsidRDefault="00000000" w:rsidRPr="00000000" w14:paraId="0000003F">
      <w:pPr>
        <w:ind w:firstLine="709"/>
        <w:jc w:val="both"/>
        <w:rPr>
          <w:sz w:val="28"/>
          <w:szCs w:val="28"/>
          <w:highlight w:val="white"/>
        </w:rPr>
      </w:pPr>
      <w:r w:rsidDel="00000000" w:rsidR="00000000" w:rsidRPr="00000000">
        <w:rPr>
          <w:sz w:val="28"/>
          <w:szCs w:val="28"/>
          <w:highlight w:val="white"/>
          <w:rtl w:val="0"/>
        </w:rPr>
        <w:t xml:space="preserve">2. Дані щодо кількості застосованих Національним банком заходів впливу за порушення законодавства України про захист прав споживачів фінансових послуг, уключаючи вимоги щодо взаємодії із споживачами під час урегулювання простроченої заборгованості (вимоги щодо етичної поведінки) (таблиця 2), </w:t>
      </w:r>
      <w:r w:rsidDel="00000000" w:rsidR="00000000" w:rsidRPr="00000000">
        <w:rPr>
          <w:b w:val="1"/>
          <w:sz w:val="28"/>
          <w:szCs w:val="28"/>
          <w:highlight w:val="white"/>
          <w:rtl w:val="0"/>
        </w:rPr>
        <w:t xml:space="preserve">станом на 01.05.2022</w:t>
      </w:r>
      <w:r w:rsidDel="00000000" w:rsidR="00000000" w:rsidRPr="00000000">
        <w:rPr>
          <w:sz w:val="28"/>
          <w:szCs w:val="28"/>
          <w:highlight w:val="white"/>
          <w:rtl w:val="0"/>
        </w:rPr>
        <w:t xml:space="preserve">:</w:t>
      </w:r>
    </w:p>
    <w:p w:rsidR="00000000" w:rsidDel="00000000" w:rsidP="00000000" w:rsidRDefault="00000000" w:rsidRPr="00000000" w14:paraId="00000040">
      <w:pPr>
        <w:ind w:firstLine="709"/>
        <w:jc w:val="right"/>
        <w:rPr>
          <w:sz w:val="28"/>
          <w:szCs w:val="28"/>
          <w:highlight w:val="white"/>
        </w:rPr>
      </w:pPr>
      <w:r w:rsidDel="00000000" w:rsidR="00000000" w:rsidRPr="00000000">
        <w:rPr>
          <w:sz w:val="28"/>
          <w:szCs w:val="28"/>
          <w:highlight w:val="white"/>
          <w:rtl w:val="0"/>
        </w:rPr>
        <w:t xml:space="preserve">Таблиця 2</w:t>
      </w:r>
    </w:p>
    <w:p w:rsidR="00000000" w:rsidDel="00000000" w:rsidP="00000000" w:rsidRDefault="00000000" w:rsidRPr="00000000" w14:paraId="00000041">
      <w:pPr>
        <w:ind w:firstLine="709"/>
        <w:jc w:val="right"/>
        <w:rPr>
          <w:sz w:val="28"/>
          <w:szCs w:val="28"/>
          <w:highlight w:val="white"/>
        </w:rPr>
      </w:pPr>
      <w:r w:rsidDel="00000000" w:rsidR="00000000" w:rsidRPr="00000000">
        <w:rPr>
          <w:rtl w:val="0"/>
        </w:rPr>
      </w:r>
    </w:p>
    <w:tbl>
      <w:tblPr>
        <w:tblStyle w:val="Table2"/>
        <w:tblW w:w="9660.0" w:type="dxa"/>
        <w:jc w:val="left"/>
        <w:tblInd w:w="0.0" w:type="dxa"/>
        <w:tblLayout w:type="fixed"/>
        <w:tblLook w:val="0400"/>
      </w:tblPr>
      <w:tblGrid>
        <w:gridCol w:w="1380"/>
        <w:gridCol w:w="1380"/>
        <w:gridCol w:w="1380"/>
        <w:gridCol w:w="1380"/>
        <w:gridCol w:w="1380"/>
        <w:gridCol w:w="1380"/>
        <w:gridCol w:w="1380"/>
        <w:tblGridChange w:id="0">
          <w:tblGrid>
            <w:gridCol w:w="1380"/>
            <w:gridCol w:w="1380"/>
            <w:gridCol w:w="1380"/>
            <w:gridCol w:w="1380"/>
            <w:gridCol w:w="1380"/>
            <w:gridCol w:w="1380"/>
            <w:gridCol w:w="1380"/>
          </w:tblGrid>
        </w:tblGridChange>
      </w:tblGrid>
      <w:tr>
        <w:trPr>
          <w:cantSplit w:val="0"/>
          <w:trHeight w:val="259" w:hRule="atLeast"/>
          <w:tblHeader w:val="1"/>
        </w:trPr>
        <w:tc>
          <w:tcPr>
            <w:vMerge w:val="restart"/>
            <w:tcBorders>
              <w:top w:color="000000" w:space="0" w:sz="8" w:val="single"/>
              <w:left w:color="000000" w:space="0" w:sz="8" w:val="single"/>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42">
            <w:pPr>
              <w:jc w:val="center"/>
              <w:rPr>
                <w:highlight w:val="white"/>
              </w:rPr>
            </w:pPr>
            <w:r w:rsidDel="00000000" w:rsidR="00000000" w:rsidRPr="00000000">
              <w:rPr>
                <w:highlight w:val="white"/>
                <w:rtl w:val="0"/>
              </w:rPr>
              <w:t xml:space="preserve">Учасники ринку небанківсь-ких фінансових послуг </w:t>
            </w:r>
          </w:p>
        </w:tc>
        <w:tc>
          <w:tcPr>
            <w:gridSpan w:val="6"/>
            <w:tcBorders>
              <w:top w:color="000000" w:space="0" w:sz="8" w:val="single"/>
              <w:left w:color="000000" w:space="0" w:sz="8" w:val="single"/>
              <w:bottom w:color="000000" w:space="0" w:sz="8" w:val="single"/>
              <w:right w:color="000000" w:space="0" w:sz="8" w:val="single"/>
            </w:tcBorders>
            <w:tcMar>
              <w:left w:w="28.0" w:type="dxa"/>
              <w:right w:w="28.0" w:type="dxa"/>
            </w:tcMar>
          </w:tcPr>
          <w:p w:rsidR="00000000" w:rsidDel="00000000" w:rsidP="00000000" w:rsidRDefault="00000000" w:rsidRPr="00000000" w14:paraId="00000043">
            <w:pPr>
              <w:jc w:val="center"/>
              <w:rPr>
                <w:highlight w:val="white"/>
              </w:rPr>
            </w:pPr>
            <w:r w:rsidDel="00000000" w:rsidR="00000000" w:rsidRPr="00000000">
              <w:rPr>
                <w:sz w:val="28"/>
                <w:szCs w:val="28"/>
                <w:highlight w:val="white"/>
                <w:rtl w:val="0"/>
              </w:rPr>
              <w:t xml:space="preserve">Кількість застосованих заходів впливу</w:t>
            </w:r>
            <w:r w:rsidDel="00000000" w:rsidR="00000000" w:rsidRPr="00000000">
              <w:rPr>
                <w:sz w:val="28"/>
                <w:szCs w:val="28"/>
                <w:highlight w:val="white"/>
                <w:vertAlign w:val="superscript"/>
              </w:rPr>
              <w:footnoteReference w:customMarkFollows="0" w:id="0"/>
            </w:r>
            <w:r w:rsidDel="00000000" w:rsidR="00000000" w:rsidRPr="00000000">
              <w:rPr>
                <w:rtl w:val="0"/>
              </w:rPr>
            </w:r>
          </w:p>
        </w:tc>
      </w:tr>
      <w:tr>
        <w:trPr>
          <w:cantSplit w:val="1"/>
          <w:trHeight w:val="2345" w:hRule="atLeast"/>
          <w:tblHeader w:val="1"/>
        </w:trPr>
        <w:tc>
          <w:tcPr>
            <w:vMerge w:val="continue"/>
            <w:tcBorders>
              <w:top w:color="000000" w:space="0" w:sz="8" w:val="single"/>
              <w:left w:color="000000" w:space="0" w:sz="8" w:val="single"/>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4A">
            <w:pPr>
              <w:jc w:val="center"/>
              <w:rPr>
                <w:sz w:val="22"/>
                <w:szCs w:val="22"/>
                <w:highlight w:val="white"/>
              </w:rPr>
            </w:pPr>
            <w:r w:rsidDel="00000000" w:rsidR="00000000" w:rsidRPr="00000000">
              <w:rPr>
                <w:sz w:val="22"/>
                <w:szCs w:val="22"/>
                <w:highlight w:val="white"/>
                <w:rtl w:val="0"/>
              </w:rPr>
              <w:t xml:space="preserve">накладених штрафів</w:t>
            </w:r>
          </w:p>
        </w:tc>
        <w:tc>
          <w:tcPr>
            <w:tcBorders>
              <w:top w:color="000000" w:space="0" w:sz="0" w:val="nil"/>
              <w:left w:color="000000" w:space="0" w:sz="0" w:val="nil"/>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4B">
            <w:pPr>
              <w:jc w:val="center"/>
              <w:rPr>
                <w:b w:val="1"/>
                <w:sz w:val="22"/>
                <w:szCs w:val="22"/>
                <w:highlight w:val="white"/>
              </w:rPr>
            </w:pPr>
            <w:r w:rsidDel="00000000" w:rsidR="00000000" w:rsidRPr="00000000">
              <w:rPr>
                <w:sz w:val="22"/>
                <w:szCs w:val="22"/>
                <w:highlight w:val="white"/>
                <w:rtl w:val="0"/>
              </w:rPr>
              <w:t xml:space="preserve">тимчасово зупинених або відкликаних (анульова-них) ліцензій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4C">
            <w:pPr>
              <w:jc w:val="center"/>
              <w:rPr>
                <w:sz w:val="22"/>
                <w:szCs w:val="22"/>
                <w:highlight w:val="white"/>
              </w:rPr>
            </w:pPr>
            <w:r w:rsidDel="00000000" w:rsidR="00000000" w:rsidRPr="00000000">
              <w:rPr>
                <w:sz w:val="22"/>
                <w:szCs w:val="22"/>
                <w:highlight w:val="white"/>
                <w:rtl w:val="0"/>
              </w:rPr>
              <w:t xml:space="preserve">виключень з Державно-го реєстру фінансових установ або реєстру осіб,</w:t>
            </w:r>
          </w:p>
          <w:p w:rsidR="00000000" w:rsidDel="00000000" w:rsidP="00000000" w:rsidRDefault="00000000" w:rsidRPr="00000000" w14:paraId="0000004D">
            <w:pPr>
              <w:jc w:val="center"/>
              <w:rPr>
                <w:sz w:val="22"/>
                <w:szCs w:val="22"/>
                <w:highlight w:val="white"/>
              </w:rPr>
            </w:pPr>
            <w:r w:rsidDel="00000000" w:rsidR="00000000" w:rsidRPr="00000000">
              <w:rPr>
                <w:sz w:val="22"/>
                <w:szCs w:val="22"/>
                <w:highlight w:val="white"/>
                <w:rtl w:val="0"/>
              </w:rPr>
              <w:t xml:space="preserve">які не є фінансо-вими установами, але мають право надавати окремі фінансові послуги</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4E">
            <w:pPr>
              <w:jc w:val="center"/>
              <w:rPr>
                <w:sz w:val="22"/>
                <w:szCs w:val="22"/>
                <w:highlight w:val="white"/>
              </w:rPr>
            </w:pPr>
            <w:r w:rsidDel="00000000" w:rsidR="00000000" w:rsidRPr="00000000">
              <w:rPr>
                <w:sz w:val="22"/>
                <w:szCs w:val="22"/>
                <w:highlight w:val="white"/>
                <w:rtl w:val="0"/>
              </w:rPr>
              <w:t xml:space="preserve">письмових застережень</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4F">
            <w:pPr>
              <w:jc w:val="center"/>
              <w:rPr>
                <w:sz w:val="22"/>
                <w:szCs w:val="22"/>
                <w:highlight w:val="white"/>
              </w:rPr>
            </w:pPr>
            <w:r w:rsidDel="00000000" w:rsidR="00000000" w:rsidRPr="00000000">
              <w:rPr>
                <w:sz w:val="22"/>
                <w:szCs w:val="22"/>
                <w:highlight w:val="white"/>
                <w:rtl w:val="0"/>
              </w:rPr>
              <w:t xml:space="preserve">тимчасових заборон установі – колекторсь-кій компанії здійснюва-ти врегулюва-ння простроче-ної заборгова-ності</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0">
            <w:pPr>
              <w:jc w:val="center"/>
              <w:rPr>
                <w:sz w:val="22"/>
                <w:szCs w:val="22"/>
                <w:highlight w:val="white"/>
              </w:rPr>
            </w:pPr>
            <w:r w:rsidDel="00000000" w:rsidR="00000000" w:rsidRPr="00000000">
              <w:rPr>
                <w:sz w:val="22"/>
                <w:szCs w:val="22"/>
                <w:highlight w:val="white"/>
                <w:rtl w:val="0"/>
              </w:rPr>
              <w:t xml:space="preserve">виключення відомостей про установу – колекторсь-ку компанію з реєстру колекторсь-ких компаній</w:t>
            </w:r>
          </w:p>
        </w:tc>
      </w:tr>
      <w:tr>
        <w:trPr>
          <w:cantSplit w:val="0"/>
          <w:trHeight w:val="264" w:hRule="atLeast"/>
          <w:tblHeader w:val="1"/>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1">
            <w:pPr>
              <w:rPr>
                <w:highlight w:val="white"/>
              </w:rPr>
            </w:pPr>
            <w:r w:rsidDel="00000000" w:rsidR="00000000" w:rsidRPr="00000000">
              <w:rPr>
                <w:highlight w:val="white"/>
                <w:rtl w:val="0"/>
              </w:rPr>
              <w:t xml:space="preserve">Фінансові </w:t>
            </w:r>
          </w:p>
          <w:p w:rsidR="00000000" w:rsidDel="00000000" w:rsidP="00000000" w:rsidRDefault="00000000" w:rsidRPr="00000000" w14:paraId="00000052">
            <w:pPr>
              <w:rPr>
                <w:highlight w:val="white"/>
              </w:rPr>
            </w:pPr>
            <w:r w:rsidDel="00000000" w:rsidR="00000000" w:rsidRPr="00000000">
              <w:rPr>
                <w:highlight w:val="white"/>
                <w:rtl w:val="0"/>
              </w:rPr>
              <w:t xml:space="preserve">компанії</w:t>
            </w:r>
          </w:p>
        </w:tc>
        <w:tc>
          <w:tcPr>
            <w:tcBorders>
              <w:top w:color="000000" w:space="0" w:sz="0" w:val="nil"/>
              <w:left w:color="000000" w:space="0" w:sz="0" w:val="nil"/>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53">
            <w:pPr>
              <w:jc w:val="center"/>
              <w:rPr>
                <w:highlight w:val="white"/>
              </w:rPr>
            </w:pPr>
            <w:r w:rsidDel="00000000" w:rsidR="00000000" w:rsidRPr="00000000">
              <w:rPr>
                <w:highlight w:val="white"/>
                <w:rtl w:val="0"/>
              </w:rPr>
              <w:t xml:space="preserve">22</w:t>
            </w:r>
          </w:p>
        </w:tc>
        <w:tc>
          <w:tcPr>
            <w:tcBorders>
              <w:top w:color="000000" w:space="0" w:sz="0" w:val="nil"/>
              <w:left w:color="000000" w:space="0" w:sz="0" w:val="nil"/>
              <w:bottom w:color="000000" w:space="0" w:sz="8" w:val="single"/>
              <w:right w:color="000000" w:space="0" w:sz="8" w:val="single"/>
            </w:tcBorders>
            <w:tcMar>
              <w:top w:w="0.0" w:type="dxa"/>
              <w:left w:w="28.0" w:type="dxa"/>
              <w:bottom w:w="0.0" w:type="dxa"/>
              <w:right w:w="28.0" w:type="dxa"/>
            </w:tcMar>
          </w:tcPr>
          <w:p w:rsidR="00000000" w:rsidDel="00000000" w:rsidP="00000000" w:rsidRDefault="00000000" w:rsidRPr="00000000" w14:paraId="00000054">
            <w:pPr>
              <w:jc w:val="center"/>
              <w:rPr>
                <w:highlight w:val="white"/>
              </w:rPr>
            </w:pPr>
            <w:r w:rsidDel="00000000" w:rsidR="00000000" w:rsidRPr="00000000">
              <w:rPr>
                <w:highlight w:val="white"/>
                <w:rtl w:val="0"/>
              </w:rPr>
              <w:t xml:space="preserve">2</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5">
            <w:pPr>
              <w:jc w:val="center"/>
              <w:rPr>
                <w:highlight w:val="white"/>
              </w:rPr>
            </w:pPr>
            <w:r w:rsidDel="00000000" w:rsidR="00000000" w:rsidRPr="00000000">
              <w:rPr>
                <w:highlight w:val="white"/>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6">
            <w:pPr>
              <w:jc w:val="center"/>
              <w:rPr>
                <w:highlight w:val="white"/>
              </w:rPr>
            </w:pPr>
            <w:r w:rsidDel="00000000" w:rsidR="00000000" w:rsidRPr="00000000">
              <w:rPr>
                <w:highlight w:val="white"/>
                <w:rtl w:val="0"/>
              </w:rPr>
              <w:t xml:space="preserve">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7">
            <w:pPr>
              <w:jc w:val="center"/>
              <w:rPr>
                <w:highlight w:val="white"/>
              </w:rPr>
            </w:pPr>
            <w:r w:rsidDel="00000000" w:rsidR="00000000" w:rsidRPr="00000000">
              <w:rPr>
                <w:highlight w:val="white"/>
                <w:rtl w:val="0"/>
              </w:rPr>
              <w:t xml:space="preserve">-</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8">
            <w:pPr>
              <w:jc w:val="center"/>
              <w:rPr>
                <w:highlight w:val="white"/>
              </w:rPr>
            </w:pPr>
            <w:r w:rsidDel="00000000" w:rsidR="00000000" w:rsidRPr="00000000">
              <w:rPr>
                <w:highlight w:val="white"/>
                <w:rtl w:val="0"/>
              </w:rPr>
              <w:t xml:space="preserve">-</w:t>
            </w:r>
          </w:p>
        </w:tc>
      </w:tr>
      <w:tr>
        <w:trPr>
          <w:cantSplit w:val="0"/>
          <w:trHeight w:val="330" w:hRule="atLeast"/>
          <w:tblHeader w:val="1"/>
        </w:trPr>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9">
            <w:pPr>
              <w:rPr>
                <w:b w:val="1"/>
                <w:highlight w:val="white"/>
              </w:rPr>
            </w:pPr>
            <w:sdt>
              <w:sdtPr>
                <w:tag w:val="goog_rdk_0"/>
              </w:sdtPr>
              <w:sdtContent>
                <w:r w:rsidDel="00000000" w:rsidR="00000000" w:rsidRPr="00000000">
                  <w:rPr>
                    <w:rFonts w:ascii="Gungsuh" w:cs="Gungsuh" w:eastAsia="Gungsuh" w:hAnsi="Gungsuh"/>
                    <w:b w:val="1"/>
                    <w:highlight w:val="white"/>
                    <w:rtl w:val="0"/>
                  </w:rPr>
                  <w:t xml:space="preserve">Загальна кількість застосованих заходів впливу − 25</w:t>
                </w:r>
              </w:sdtContent>
            </w:sdt>
          </w:p>
        </w:tc>
      </w:tr>
    </w:tbl>
    <w:p w:rsidR="00000000" w:rsidDel="00000000" w:rsidP="00000000" w:rsidRDefault="00000000" w:rsidRPr="00000000" w14:paraId="00000060">
      <w:pPr>
        <w:ind w:firstLine="708"/>
        <w:jc w:val="both"/>
        <w:rPr>
          <w:sz w:val="28"/>
          <w:szCs w:val="28"/>
        </w:rPr>
      </w:pPr>
      <w:r w:rsidDel="00000000" w:rsidR="00000000" w:rsidRPr="00000000">
        <w:rPr>
          <w:rtl w:val="0"/>
        </w:rPr>
      </w:r>
    </w:p>
    <w:p w:rsidR="00000000" w:rsidDel="00000000" w:rsidP="00000000" w:rsidRDefault="00000000" w:rsidRPr="00000000" w14:paraId="00000061">
      <w:pPr>
        <w:ind w:firstLine="708"/>
        <w:jc w:val="both"/>
        <w:rPr>
          <w:sz w:val="28"/>
          <w:szCs w:val="28"/>
        </w:rPr>
      </w:pPr>
      <w:r w:rsidDel="00000000" w:rsidR="00000000" w:rsidRPr="00000000">
        <w:rPr>
          <w:rtl w:val="0"/>
        </w:rPr>
      </w:r>
    </w:p>
    <w:p w:rsidR="00000000" w:rsidDel="00000000" w:rsidP="00000000" w:rsidRDefault="00000000" w:rsidRPr="00000000" w14:paraId="00000062">
      <w:pPr>
        <w:ind w:firstLine="708"/>
        <w:jc w:val="both"/>
        <w:rPr>
          <w:sz w:val="28"/>
          <w:szCs w:val="28"/>
          <w:highlight w:val="cyan"/>
        </w:rPr>
      </w:pPr>
      <w:r w:rsidDel="00000000" w:rsidR="00000000" w:rsidRPr="00000000">
        <w:rPr>
          <w:sz w:val="28"/>
          <w:szCs w:val="28"/>
          <w:rtl w:val="0"/>
        </w:rPr>
        <w:t xml:space="preserve">Водночас застосовані заходи впливу у вигляді накладення штрафу не мали суттєвого впливу на фінансовий стан учасників ринку небанківських фінансових послуг, оскільки під час прийняття рішення Комітетом з питань нагляду та регулювання діяльності ринків небанківських фінансових послуг ураховуються співмірність заходів впливу вчиненому порушенню та з дотриманням принципів співмірності, урахування характеру та обставин вчинення порушення, причин, що зумовили вчинення такого порушення, заходів, ужитих для запобігання порушенню та його усунення, а також урахування наслідків порушення</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3">
      <w:pPr>
        <w:ind w:firstLine="708"/>
        <w:jc w:val="both"/>
        <w:rPr>
          <w:sz w:val="28"/>
          <w:szCs w:val="28"/>
        </w:rPr>
      </w:pPr>
      <w:r w:rsidDel="00000000" w:rsidR="00000000" w:rsidRPr="00000000">
        <w:rPr>
          <w:sz w:val="28"/>
          <w:szCs w:val="28"/>
          <w:rtl w:val="0"/>
        </w:rPr>
        <w:t xml:space="preserve">Також станом на 01.05.2022 до учасників ринку небанківських фінансових послуг застосовано штрафів на загальну суму 1 938 000 (один мільйон дев’ятсот тридцять вісім тисяч) гривень. Слід зазначити, що даних про інші можливі витрати учасників ринку небанківських фінансових послуг, пов’язаних із виконанням вимог регуляторного акта, немає, оскільки облік таких витрат непередбачений законодавством України. </w:t>
      </w:r>
    </w:p>
    <w:p w:rsidR="00000000" w:rsidDel="00000000" w:rsidP="00000000" w:rsidRDefault="00000000" w:rsidRPr="00000000" w14:paraId="00000064">
      <w:pPr>
        <w:ind w:firstLine="708"/>
        <w:jc w:val="both"/>
        <w:rPr>
          <w:sz w:val="28"/>
          <w:szCs w:val="28"/>
        </w:rPr>
      </w:pPr>
      <w:r w:rsidDel="00000000" w:rsidR="00000000" w:rsidRPr="00000000">
        <w:rPr>
          <w:sz w:val="28"/>
          <w:szCs w:val="28"/>
          <w:rtl w:val="0"/>
        </w:rPr>
        <w:t xml:space="preserve">У Національного банку немає інформації щодо кількості часу, що фактично витрачається учасниками ринку небанківських фінансових послуг під час виконання вимог регуляторного акта. Також немає інформації щодо публікацій у засобах масової інформації з оцінкою дії регуляторного акта.</w:t>
      </w:r>
    </w:p>
    <w:p w:rsidR="00000000" w:rsidDel="00000000" w:rsidP="00000000" w:rsidRDefault="00000000" w:rsidRPr="00000000" w14:paraId="00000065">
      <w:pPr>
        <w:ind w:firstLine="708"/>
        <w:jc w:val="both"/>
        <w:rPr>
          <w:sz w:val="28"/>
          <w:szCs w:val="28"/>
          <w:highlight w:val="cyan"/>
        </w:rPr>
      </w:pPr>
      <w:r w:rsidDel="00000000" w:rsidR="00000000" w:rsidRPr="00000000">
        <w:rPr>
          <w:rtl w:val="0"/>
        </w:rPr>
      </w:r>
    </w:p>
    <w:p w:rsidR="00000000" w:rsidDel="00000000" w:rsidP="00000000" w:rsidRDefault="00000000" w:rsidRPr="00000000" w14:paraId="00000066">
      <w:pPr>
        <w:ind w:firstLine="708"/>
        <w:jc w:val="both"/>
        <w:rPr>
          <w:b w:val="1"/>
          <w:sz w:val="28"/>
          <w:szCs w:val="28"/>
        </w:rPr>
      </w:pPr>
      <w:r w:rsidDel="00000000" w:rsidR="00000000" w:rsidRPr="00000000">
        <w:rPr>
          <w:b w:val="1"/>
          <w:sz w:val="28"/>
          <w:szCs w:val="28"/>
          <w:rtl w:val="0"/>
        </w:rPr>
        <w:t xml:space="preserve">Оцінка результатів реалізації акта та ступеня досягнення визначених цілей</w:t>
      </w:r>
    </w:p>
    <w:p w:rsidR="00000000" w:rsidDel="00000000" w:rsidP="00000000" w:rsidRDefault="00000000" w:rsidRPr="00000000" w14:paraId="00000067">
      <w:pPr>
        <w:widowControl w:val="0"/>
        <w:ind w:firstLine="709"/>
        <w:jc w:val="both"/>
        <w:rPr>
          <w:sz w:val="28"/>
          <w:szCs w:val="28"/>
        </w:rPr>
      </w:pPr>
      <w:r w:rsidDel="00000000" w:rsidR="00000000" w:rsidRPr="00000000">
        <w:rPr>
          <w:sz w:val="28"/>
          <w:szCs w:val="28"/>
          <w:rtl w:val="0"/>
        </w:rPr>
        <w:t xml:space="preserve">Відповідно до Закону України від 15.11.2016 № 1734-VIII “Про споживче кредитування” Національний банк з 14.07.2021 здійснює державне регулювання та нагляд у сфері споживчого кредитування, зокрема, здійснює нагляд за додержанням кредитодавцями, новими кредиторами, колекторськими компаніями законодавства України про захист прав споживачів фінансових послуг, у тому числі вимог щодо взаємодії із споживачами під час урегулювання простроченої заборгованості (вимог щодо етичної поведінки) та в межах компетенції вживає заходів, спрямованих на припинення виявлених порушень прав споживачів, поновлення порушених прав споживачів, установлення та усунення причин таких порушень, установлення посадових осіб, відповідальних за виявлені порушення. </w:t>
      </w:r>
    </w:p>
    <w:p w:rsidR="00000000" w:rsidDel="00000000" w:rsidP="00000000" w:rsidRDefault="00000000" w:rsidRPr="00000000" w14:paraId="00000068">
      <w:pPr>
        <w:widowControl w:val="0"/>
        <w:ind w:firstLine="709"/>
        <w:jc w:val="both"/>
        <w:rPr>
          <w:sz w:val="28"/>
          <w:szCs w:val="28"/>
        </w:rPr>
      </w:pPr>
      <w:bookmarkStart w:colFirst="0" w:colLast="0" w:name="_heading=h.1fob9te" w:id="0"/>
      <w:bookmarkEnd w:id="0"/>
      <w:r w:rsidDel="00000000" w:rsidR="00000000" w:rsidRPr="00000000">
        <w:rPr>
          <w:sz w:val="28"/>
          <w:szCs w:val="28"/>
          <w:rtl w:val="0"/>
        </w:rPr>
        <w:t xml:space="preserve">У статтях 26 і 28 Закону України “Про споживче кредитування” визначено, що Національний банк здійснює нагляд за додержанням кредитодавцем, </w:t>
        <w:br w:type="textWrapping"/>
        <w:t xml:space="preserve">новим кредитором, колекторською компанією встановлених законодавством вимог щодо захисту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 та має право у встановленому ним порядку застосувати адекватні заходи впливу вчиненому порушенню. Відповідні види заходів впливу передбачені статтею 28 Закону України “Про споживче кредитування”.</w:t>
      </w:r>
    </w:p>
    <w:p w:rsidR="00000000" w:rsidDel="00000000" w:rsidP="00000000" w:rsidRDefault="00000000" w:rsidRPr="00000000" w14:paraId="00000069">
      <w:pPr>
        <w:widowControl w:val="0"/>
        <w:ind w:firstLine="709"/>
        <w:jc w:val="both"/>
        <w:rPr>
          <w:sz w:val="28"/>
          <w:szCs w:val="28"/>
        </w:rPr>
      </w:pPr>
      <w:r w:rsidDel="00000000" w:rsidR="00000000" w:rsidRPr="00000000">
        <w:rPr>
          <w:sz w:val="28"/>
          <w:szCs w:val="28"/>
          <w:rtl w:val="0"/>
        </w:rPr>
        <w:t xml:space="preserve">Отже, прийняттям регуляторного акта забезпечено виконання норм зазначеного вище закону України.</w:t>
      </w:r>
    </w:p>
    <w:p w:rsidR="00000000" w:rsidDel="00000000" w:rsidP="00000000" w:rsidRDefault="00000000" w:rsidRPr="00000000" w14:paraId="0000006A">
      <w:pPr>
        <w:widowControl w:val="0"/>
        <w:ind w:firstLine="709"/>
        <w:jc w:val="both"/>
        <w:rPr>
          <w:sz w:val="28"/>
          <w:szCs w:val="28"/>
        </w:rPr>
      </w:pPr>
      <w:r w:rsidDel="00000000" w:rsidR="00000000" w:rsidRPr="00000000">
        <w:rPr>
          <w:sz w:val="28"/>
          <w:szCs w:val="28"/>
          <w:rtl w:val="0"/>
        </w:rPr>
        <w:t xml:space="preserve">Регуляторний акт також забезпечує захист прав споживачів фінансових послуг під час урегулювання простроченої заборгованості та, зокрема, визначає чіткий порядок застосування Національним банком заходів впливу до учасників ринку за порушення законодавства України про захист прав споживачів фінансових послуг, у тому числі вимог щодо взаємодії із споживачами під час урегулювання простроченої заборгованості (вимог щодо етичної поведінки). </w:t>
      </w:r>
    </w:p>
    <w:p w:rsidR="00000000" w:rsidDel="00000000" w:rsidP="00000000" w:rsidRDefault="00000000" w:rsidRPr="00000000" w14:paraId="0000006B">
      <w:pPr>
        <w:widowControl w:val="0"/>
        <w:ind w:firstLine="709"/>
        <w:jc w:val="both"/>
        <w:rPr>
          <w:sz w:val="28"/>
          <w:szCs w:val="28"/>
        </w:rPr>
      </w:pPr>
      <w:r w:rsidDel="00000000" w:rsidR="00000000" w:rsidRPr="00000000">
        <w:rPr>
          <w:sz w:val="28"/>
          <w:szCs w:val="28"/>
          <w:rtl w:val="0"/>
        </w:rPr>
        <w:t xml:space="preserve">Крім того, регуляторний акт дав змогу Національному банку застосовувати широкий спектр заходів впливу залежно від характеру, обставин, причин та наслідків порушення, учиненого учасниками ринку споживчого кредитування, </w:t>
        <w:br w:type="textWrapping"/>
        <w:t xml:space="preserve">щодо порушення законодавства України про захист прав споживачів.</w:t>
      </w:r>
    </w:p>
    <w:p w:rsidR="00000000" w:rsidDel="00000000" w:rsidP="00000000" w:rsidRDefault="00000000" w:rsidRPr="00000000" w14:paraId="0000006C">
      <w:pPr>
        <w:widowControl w:val="0"/>
        <w:ind w:firstLine="709"/>
        <w:jc w:val="both"/>
        <w:rPr>
          <w:sz w:val="28"/>
          <w:szCs w:val="28"/>
        </w:rPr>
      </w:pPr>
      <w:r w:rsidDel="00000000" w:rsidR="00000000" w:rsidRPr="00000000">
        <w:rPr>
          <w:sz w:val="28"/>
          <w:szCs w:val="28"/>
          <w:rtl w:val="0"/>
        </w:rPr>
        <w:t xml:space="preserve">Протягом дії регуляторного акта негативних відгуків щодо рівня підготовки цього документа від учасників ринку небанківських фінансових послуг не надходило. Результати реалізації регуляторного акта та ступінь досягнення визначених цілей загалом оцінюються позитивно.</w:t>
      </w:r>
    </w:p>
    <w:p w:rsidR="00000000" w:rsidDel="00000000" w:rsidP="00000000" w:rsidRDefault="00000000" w:rsidRPr="00000000" w14:paraId="0000006D">
      <w:pPr>
        <w:widowControl w:val="0"/>
        <w:ind w:firstLine="709"/>
        <w:jc w:val="both"/>
        <w:rPr>
          <w:sz w:val="28"/>
          <w:szCs w:val="28"/>
        </w:rPr>
      </w:pPr>
      <w:r w:rsidDel="00000000" w:rsidR="00000000" w:rsidRPr="00000000">
        <w:rPr>
          <w:sz w:val="28"/>
          <w:szCs w:val="28"/>
          <w:rtl w:val="0"/>
        </w:rPr>
        <w:t xml:space="preserve">Подальший висновок щодо оцінки результативності дії регуляторного акта буде зроблено за результатами повторного відстеження, яке здійснюватиметься відповідно до Закону України “Про засади державної регуляторної політики у сфері господарської діяльності”.</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tbl>
      <w:tblPr>
        <w:tblStyle w:val="Table3"/>
        <w:tblW w:w="96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В. о. Голови</w:t>
            </w:r>
          </w:p>
          <w:p w:rsidR="00000000" w:rsidDel="00000000" w:rsidP="00000000" w:rsidRDefault="00000000" w:rsidRPr="00000000" w14:paraId="00000072">
            <w:pPr>
              <w:shd w:fill="ffffff" w:val="clear"/>
              <w:tabs>
                <w:tab w:val="left" w:pos="3086"/>
              </w:tabs>
              <w:jc w:val="both"/>
              <w:rPr>
                <w:sz w:val="28"/>
                <w:szCs w:val="28"/>
              </w:rPr>
            </w:pPr>
            <w:r w:rsidDel="00000000" w:rsidR="00000000" w:rsidRPr="00000000">
              <w:rPr>
                <w:sz w:val="28"/>
                <w:szCs w:val="28"/>
                <w:rtl w:val="0"/>
              </w:rPr>
              <w:t xml:space="preserve">Національного банку України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3">
            <w:pPr>
              <w:shd w:fill="ffffff" w:val="clear"/>
              <w:tabs>
                <w:tab w:val="left" w:pos="3086"/>
              </w:tabs>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4">
            <w:pPr>
              <w:shd w:fill="ffffff" w:val="clear"/>
              <w:tabs>
                <w:tab w:val="left" w:pos="3086"/>
              </w:tabs>
              <w:jc w:val="right"/>
              <w:rPr>
                <w:sz w:val="28"/>
                <w:szCs w:val="28"/>
              </w:rPr>
            </w:pPr>
            <w:bookmarkStart w:colFirst="0" w:colLast="0" w:name="_heading=h.gjdgxs" w:id="1"/>
            <w:bookmarkEnd w:id="1"/>
            <w:r w:rsidDel="00000000" w:rsidR="00000000" w:rsidRPr="00000000">
              <w:rPr>
                <w:sz w:val="28"/>
                <w:szCs w:val="28"/>
                <w:rtl w:val="0"/>
              </w:rPr>
              <w:t xml:space="preserve">Ярослав МАТУЗКА </w:t>
            </w:r>
          </w:p>
          <w:p w:rsidR="00000000" w:rsidDel="00000000" w:rsidP="00000000" w:rsidRDefault="00000000" w:rsidRPr="00000000" w14:paraId="00000075">
            <w:pPr>
              <w:shd w:fill="ffffff" w:val="clear"/>
              <w:tabs>
                <w:tab w:val="left" w:pos="3086"/>
              </w:tabs>
              <w:jc w:val="both"/>
              <w:rPr>
                <w:sz w:val="28"/>
                <w:szCs w:val="28"/>
              </w:rPr>
            </w:pPr>
            <w:r w:rsidDel="00000000" w:rsidR="00000000" w:rsidRPr="00000000">
              <w:rPr>
                <w:rtl w:val="0"/>
              </w:rPr>
            </w:r>
          </w:p>
        </w:tc>
      </w:tr>
    </w:tbl>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shd w:fill="ffffff" w:val="clear"/>
        <w:tabs>
          <w:tab w:val="left" w:pos="3086"/>
        </w:tabs>
        <w:jc w:val="both"/>
        <w:rPr>
          <w:sz w:val="28"/>
          <w:szCs w:val="28"/>
        </w:rPr>
      </w:pPr>
      <w:r w:rsidDel="00000000" w:rsidR="00000000" w:rsidRPr="00000000">
        <w:rPr>
          <w:rtl w:val="0"/>
        </w:rPr>
      </w:r>
    </w:p>
    <w:sectPr>
      <w:headerReference r:id="rId8" w:type="default"/>
      <w:pgSz w:h="16838" w:w="11906" w:orient="portrait"/>
      <w:pgMar w:bottom="1701" w:top="567" w:left="1701" w:right="567"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Підпункти 3 та 5 пункту 2 регуляторного акта.</w:t>
      </w:r>
    </w:p>
  </w:footnote>
  <w:footnote w:id="1">
    <w:p w:rsidR="00000000" w:rsidDel="00000000" w:rsidP="00000000" w:rsidRDefault="00000000" w:rsidRPr="00000000" w14:paraId="0000007A">
      <w:pPr>
        <w:rPr>
          <w:sz w:val="20"/>
          <w:szCs w:val="20"/>
        </w:rPr>
      </w:pPr>
      <w:bookmarkStart w:colFirst="0" w:colLast="0" w:name="_heading=h.30j0zll" w:id="2"/>
      <w:bookmarkEnd w:id="2"/>
      <w:r w:rsidDel="00000000" w:rsidR="00000000" w:rsidRPr="00000000">
        <w:rPr>
          <w:rStyle w:val="FootnoteReference"/>
          <w:vertAlign w:val="superscript"/>
        </w:rPr>
        <w:footnoteRef/>
      </w:r>
      <w:r w:rsidDel="00000000" w:rsidR="00000000" w:rsidRPr="00000000">
        <w:rPr>
          <w:sz w:val="20"/>
          <w:szCs w:val="20"/>
          <w:rtl w:val="0"/>
        </w:rPr>
        <w:t xml:space="preserve"> Підпункт 4 пункту 3 регуляторного акта.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819"/>
        <w:tab w:val="right" w:pos="9639"/>
      </w:tabs>
      <w:jc w:val="center"/>
      <w:rPr>
        <w:color w:val="000000"/>
        <w:sz w:val="28"/>
        <w:szCs w:val="28"/>
      </w:rPr>
    </w:pPr>
    <w:r w:rsidDel="00000000" w:rsidR="00000000" w:rsidRPr="00000000">
      <w:rPr>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819"/>
        <w:tab w:val="right" w:pos="9639"/>
      </w:tabs>
      <w:jc w:val="center"/>
      <w:rPr>
        <w:color w:val="00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5040" w:firstLine="720"/>
      <w:jc w:val="center"/>
    </w:pPr>
    <w:rPr>
      <w:b w:val="1"/>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link w:val="a4"/>
    <w:uiPriority w:val="10"/>
    <w:qFormat w:val="1"/>
    <w:pPr>
      <w:ind w:left="5040" w:firstLine="720"/>
      <w:jc w:val="center"/>
    </w:pPr>
    <w:rPr>
      <w:b w:val="1"/>
      <w:szCs w:val="20"/>
      <w:lang w:eastAsia="ru-RU" w:val="ru-RU"/>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a5">
    <w:name w:val="header"/>
    <w:basedOn w:val="a"/>
    <w:link w:val="a6"/>
    <w:pPr>
      <w:tabs>
        <w:tab w:val="center" w:pos="4819"/>
        <w:tab w:val="right" w:pos="9639"/>
      </w:tabs>
    </w:pPr>
  </w:style>
  <w:style w:type="paragraph" w:styleId="a7">
    <w:name w:val="footer"/>
    <w:basedOn w:val="a"/>
    <w:link w:val="a8"/>
    <w:pPr>
      <w:tabs>
        <w:tab w:val="center" w:pos="4819"/>
        <w:tab w:val="right" w:pos="9639"/>
      </w:tabs>
    </w:pPr>
  </w:style>
  <w:style w:type="paragraph" w:styleId="a9">
    <w:name w:val="annotation text"/>
    <w:basedOn w:val="a"/>
    <w:link w:val="aa"/>
    <w:rPr>
      <w:sz w:val="20"/>
      <w:szCs w:val="20"/>
    </w:rPr>
  </w:style>
  <w:style w:type="paragraph" w:styleId="ab">
    <w:name w:val="annotation subject"/>
    <w:basedOn w:val="a9"/>
    <w:next w:val="a9"/>
    <w:link w:val="ac"/>
    <w:semiHidden w:val="1"/>
    <w:rPr>
      <w:b w:val="1"/>
      <w:bCs w:val="1"/>
    </w:rPr>
  </w:style>
  <w:style w:type="paragraph" w:styleId="ad">
    <w:name w:val="Balloon Text"/>
    <w:basedOn w:val="a"/>
    <w:link w:val="ae"/>
    <w:semiHidden w:val="1"/>
    <w:rPr>
      <w:rFonts w:ascii="Segoe UI" w:hAnsi="Segoe UI"/>
      <w:sz w:val="18"/>
      <w:szCs w:val="18"/>
    </w:rPr>
  </w:style>
  <w:style w:type="paragraph" w:styleId="Textbody" w:customStyle="1">
    <w:name w:val="Text body"/>
    <w:basedOn w:val="a"/>
    <w:pPr>
      <w:suppressAutoHyphens w:val="1"/>
      <w:spacing w:after="140" w:line="276" w:lineRule="auto"/>
    </w:pPr>
    <w:rPr>
      <w:rFonts w:ascii="Liberation Serif" w:hAnsi="Liberation Serif"/>
      <w:kern w:val="3"/>
      <w:lang w:bidi="hi-IN" w:eastAsia="zh-CN"/>
    </w:rPr>
  </w:style>
  <w:style w:type="paragraph" w:styleId="af">
    <w:name w:val="No Spacing"/>
    <w:qFormat w:val="1"/>
    <w:rPr>
      <w:sz w:val="22"/>
    </w:rPr>
  </w:style>
  <w:style w:type="paragraph" w:styleId="af0">
    <w:name w:val="Revision"/>
    <w:hidden w:val="1"/>
    <w:semiHidden w:val="1"/>
  </w:style>
  <w:style w:type="paragraph" w:styleId="af1">
    <w:name w:val="List Paragraph"/>
    <w:basedOn w:val="a"/>
    <w:link w:val="af2"/>
    <w:qFormat w:val="1"/>
    <w:pPr>
      <w:spacing w:after="160" w:line="259" w:lineRule="auto"/>
      <w:ind w:left="720"/>
      <w:contextualSpacing w:val="1"/>
    </w:pPr>
    <w:rPr>
      <w:rFonts w:ascii="Calibri" w:hAnsi="Calibri"/>
      <w:sz w:val="22"/>
      <w:szCs w:val="22"/>
      <w:lang w:eastAsia="en-US"/>
    </w:rPr>
  </w:style>
  <w:style w:type="paragraph" w:styleId="af3">
    <w:name w:val="footnote text"/>
    <w:link w:val="af4"/>
    <w:uiPriority w:val="99"/>
    <w:rPr>
      <w:szCs w:val="20"/>
    </w:rPr>
  </w:style>
  <w:style w:type="paragraph" w:styleId="af5">
    <w:name w:val="endnote text"/>
    <w:link w:val="af6"/>
    <w:semiHidden w:val="1"/>
    <w:rPr>
      <w:szCs w:val="20"/>
    </w:rPr>
  </w:style>
  <w:style w:type="character" w:styleId="af7">
    <w:name w:val="line number"/>
    <w:basedOn w:val="a0"/>
    <w:semiHidden w:val="1"/>
  </w:style>
  <w:style w:type="character" w:styleId="af8">
    <w:name w:val="Hyperlink"/>
    <w:basedOn w:val="a0"/>
    <w:rPr>
      <w:color w:val="0563c1"/>
      <w:u w:val="single"/>
    </w:rPr>
  </w:style>
  <w:style w:type="character" w:styleId="a6" w:customStyle="1">
    <w:name w:val="Верхній колонтитул Знак"/>
    <w:basedOn w:val="a0"/>
    <w:link w:val="a5"/>
  </w:style>
  <w:style w:type="character" w:styleId="a8" w:customStyle="1">
    <w:name w:val="Нижній колонтитул Знак"/>
    <w:basedOn w:val="a0"/>
    <w:link w:val="a7"/>
  </w:style>
  <w:style w:type="character" w:styleId="af9">
    <w:name w:val="annotation reference"/>
    <w:basedOn w:val="a0"/>
    <w:semiHidden w:val="1"/>
    <w:rPr>
      <w:sz w:val="16"/>
      <w:szCs w:val="16"/>
    </w:rPr>
  </w:style>
  <w:style w:type="character" w:styleId="aa" w:customStyle="1">
    <w:name w:val="Текст примітки Знак"/>
    <w:basedOn w:val="a0"/>
    <w:link w:val="a9"/>
    <w:rPr>
      <w:sz w:val="20"/>
      <w:szCs w:val="20"/>
    </w:rPr>
  </w:style>
  <w:style w:type="character" w:styleId="ac" w:customStyle="1">
    <w:name w:val="Тема примітки Знак"/>
    <w:basedOn w:val="aa"/>
    <w:link w:val="ab"/>
    <w:semiHidden w:val="1"/>
    <w:rPr>
      <w:b w:val="1"/>
      <w:bCs w:val="1"/>
      <w:sz w:val="20"/>
      <w:szCs w:val="20"/>
    </w:rPr>
  </w:style>
  <w:style w:type="character" w:styleId="ae" w:customStyle="1">
    <w:name w:val="Текст у виносці Знак"/>
    <w:basedOn w:val="a0"/>
    <w:link w:val="ad"/>
    <w:semiHidden w:val="1"/>
    <w:rPr>
      <w:rFonts w:ascii="Segoe UI" w:hAnsi="Segoe UI"/>
      <w:sz w:val="18"/>
      <w:szCs w:val="18"/>
    </w:rPr>
  </w:style>
  <w:style w:type="character" w:styleId="a4" w:customStyle="1">
    <w:name w:val="Назва Знак"/>
    <w:basedOn w:val="a0"/>
    <w:link w:val="a3"/>
    <w:rPr>
      <w:b w:val="1"/>
      <w:szCs w:val="20"/>
      <w:lang w:eastAsia="ru-RU" w:val="ru-RU"/>
    </w:rPr>
  </w:style>
  <w:style w:type="character" w:styleId="af2" w:customStyle="1">
    <w:name w:val="Абзац списку Знак"/>
    <w:link w:val="af1"/>
    <w:qFormat w:val="1"/>
    <w:rPr>
      <w:rFonts w:ascii="Calibri" w:hAnsi="Calibri"/>
      <w:sz w:val="22"/>
      <w:szCs w:val="22"/>
      <w:lang w:eastAsia="en-US"/>
    </w:rPr>
  </w:style>
  <w:style w:type="character" w:styleId="afa">
    <w:name w:val="footnote reference"/>
    <w:uiPriority w:val="99"/>
    <w:semiHidden w:val="1"/>
    <w:rPr>
      <w:vertAlign w:val="superscript"/>
    </w:rPr>
  </w:style>
  <w:style w:type="character" w:styleId="af4" w:customStyle="1">
    <w:name w:val="Текст виноски Знак"/>
    <w:link w:val="af3"/>
    <w:uiPriority w:val="99"/>
    <w:rPr>
      <w:sz w:val="20"/>
      <w:szCs w:val="20"/>
    </w:rPr>
  </w:style>
  <w:style w:type="character" w:styleId="afb">
    <w:name w:val="endnote reference"/>
    <w:semiHidden w:val="1"/>
    <w:rPr>
      <w:vertAlign w:val="superscript"/>
    </w:rPr>
  </w:style>
  <w:style w:type="character" w:styleId="af6" w:customStyle="1">
    <w:name w:val="Текст кінцевої виноски Знак"/>
    <w:link w:val="af5"/>
    <w:semiHidden w:val="1"/>
    <w:rPr>
      <w:sz w:val="20"/>
      <w:szCs w:val="20"/>
    </w:rPr>
  </w:style>
  <w:style w:type="table" w:styleId="10">
    <w:name w:val="Table Simple 1"/>
    <w:basedOn w:val="a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afc">
    <w:name w:val="Table Grid"/>
    <w:basedOn w:val="a1"/>
    <w:uiPriority w:val="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1" w:customStyle="1">
    <w:name w:val="Сітка таблиці1"/>
    <w:basedOn w:val="a1"/>
    <w:uiPriority w:val="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 w:customStyle="1">
    <w:name w:val="Body text (2)_"/>
    <w:basedOn w:val="a0"/>
    <w:link w:val="Bodytext20"/>
    <w:rsid w:val="006A60B1"/>
    <w:rPr>
      <w:rFonts w:ascii="Times New Roman" w:hAnsi="Times New Roman"/>
      <w:sz w:val="28"/>
      <w:szCs w:val="28"/>
      <w:shd w:color="auto" w:fill="ffffff" w:val="clear"/>
    </w:rPr>
  </w:style>
  <w:style w:type="paragraph" w:styleId="Bodytext20" w:customStyle="1">
    <w:name w:val="Body text (2)"/>
    <w:basedOn w:val="a"/>
    <w:link w:val="Bodytext2"/>
    <w:rsid w:val="006A60B1"/>
    <w:pPr>
      <w:widowControl w:val="0"/>
      <w:shd w:color="auto" w:fill="ffffff" w:val="clear"/>
      <w:spacing w:before="360" w:line="320" w:lineRule="exact"/>
      <w:jc w:val="both"/>
    </w:pPr>
    <w:rPr>
      <w:sz w:val="28"/>
      <w:szCs w:val="28"/>
    </w:rPr>
  </w:style>
  <w:style w:type="paragraph" w:styleId="Default" w:customStyle="1">
    <w:name w:val="Default"/>
    <w:rsid w:val="00D94DAF"/>
    <w:pPr>
      <w:autoSpaceDE w:val="0"/>
      <w:autoSpaceDN w:val="0"/>
      <w:adjustRightInd w:val="0"/>
    </w:pPr>
    <w:rPr>
      <w:color w:val="000000"/>
    </w:rPr>
  </w:style>
  <w:style w:type="paragraph" w:styleId="afd">
    <w:name w:val="Normal (Web)"/>
    <w:basedOn w:val="a"/>
    <w:uiPriority w:val="99"/>
    <w:unhideWhenUsed w:val="1"/>
    <w:rsid w:val="00667496"/>
    <w:pPr>
      <w:spacing w:after="100" w:afterAutospacing="1" w:before="100" w:beforeAutospacing="1"/>
    </w:pPr>
  </w:style>
  <w:style w:type="character" w:styleId="afe">
    <w:name w:val="Strong"/>
    <w:basedOn w:val="a0"/>
    <w:uiPriority w:val="22"/>
    <w:qFormat w:val="1"/>
    <w:rsid w:val="00667496"/>
    <w:rPr>
      <w:b w:val="1"/>
      <w:bCs w:val="1"/>
    </w:rPr>
  </w:style>
  <w:style w:type="character" w:styleId="aff">
    <w:name w:val="Emphasis"/>
    <w:basedOn w:val="a0"/>
    <w:uiPriority w:val="20"/>
    <w:qFormat w:val="1"/>
    <w:rsid w:val="00667496"/>
    <w:rPr>
      <w:i w:val="1"/>
      <w:iCs w:val="1"/>
    </w:rPr>
  </w:style>
  <w:style w:type="paragraph" w:styleId="rvps12" w:customStyle="1">
    <w:name w:val="rvps12"/>
    <w:basedOn w:val="a"/>
    <w:rsid w:val="009245A7"/>
    <w:pPr>
      <w:spacing w:after="100" w:afterAutospacing="1" w:before="100" w:beforeAutospacing="1"/>
    </w:pPr>
  </w:style>
  <w:style w:type="character" w:styleId="12" w:customStyle="1">
    <w:name w:val="Основной текст Знак1"/>
    <w:rsid w:val="00501EAA"/>
    <w:rPr>
      <w:rFonts w:ascii="Times New Roman" w:cs="Times New Roman" w:eastAsia="Times New Roman" w:hAnsi="Times New Roman"/>
      <w:sz w:val="27"/>
      <w:u w:val="none"/>
    </w:rPr>
  </w:style>
  <w:style w:type="character" w:styleId="13" w:customStyle="1">
    <w:name w:val="Заголовок №1_"/>
    <w:basedOn w:val="a0"/>
    <w:rsid w:val="007876CE"/>
    <w:rPr>
      <w:rFonts w:ascii="Times New Roman" w:cs="Times New Roman" w:eastAsia="Times New Roman" w:hAnsi="Times New Roman"/>
      <w:b w:val="1"/>
      <w:sz w:val="27"/>
      <w:u w:val="none"/>
    </w:rPr>
  </w:style>
  <w:style w:type="paragraph" w:styleId="14" w:customStyle="1">
    <w:name w:val="Заголовок №1"/>
    <w:basedOn w:val="a"/>
    <w:rsid w:val="007876CE"/>
    <w:pPr>
      <w:widowControl w:val="0"/>
      <w:shd w:color="auto" w:fill="ffffff" w:val="clear"/>
      <w:suppressAutoHyphens w:val="1"/>
      <w:spacing w:after="240" w:line="322" w:lineRule="exact"/>
      <w:ind w:firstLine="520"/>
    </w:pPr>
    <w:rPr>
      <w:rFonts w:ascii="Courier New" w:cs="Courier New" w:hAnsi="Courier New"/>
      <w:b w:val="1"/>
      <w:color w:val="000000"/>
      <w:kern w:val="2"/>
      <w:sz w:val="27"/>
      <w:lang w:bidi="hi-IN" w:eastAsia="ar-SA"/>
    </w:rPr>
  </w:style>
  <w:style w:type="character" w:styleId="rvts15" w:customStyle="1">
    <w:name w:val="rvts15"/>
    <w:basedOn w:val="a0"/>
    <w:rsid w:val="007876CE"/>
    <w:rPr>
      <w:rFonts w:eastAsia="Times New Roman"/>
    </w:rPr>
  </w:style>
  <w:style w:type="paragraph" w:styleId="15" w:customStyle="1">
    <w:name w:val="Звичайний (веб)1"/>
    <w:basedOn w:val="a"/>
    <w:rsid w:val="007876CE"/>
    <w:pPr>
      <w:suppressAutoHyphens w:val="1"/>
      <w:spacing w:after="100" w:before="100"/>
    </w:pPr>
    <w:rPr>
      <w:kern w:val="2"/>
      <w:lang w:bidi="hi-IN" w:eastAsia="ar-SA"/>
    </w:rPr>
  </w:style>
  <w:style w:type="paragraph" w:styleId="aff0" w:customStyle="1">
    <w:name w:val="Без интервала"/>
    <w:rsid w:val="005E10E2"/>
    <w:pPr>
      <w:widowControl w:val="0"/>
      <w:suppressAutoHyphens w:val="1"/>
    </w:pPr>
    <w:rPr>
      <w:rFonts w:ascii="Courier New" w:cs="Courier New" w:hAnsi="Courier New"/>
      <w:color w:val="000000"/>
      <w:lang w:eastAsia="zh-CN"/>
    </w:rPr>
  </w:style>
  <w:style w:type="paragraph" w:styleId="rvps2" w:customStyle="1">
    <w:name w:val="rvps2"/>
    <w:basedOn w:val="a"/>
    <w:rsid w:val="004679CE"/>
    <w:pPr>
      <w:spacing w:after="100" w:afterAutospacing="1" w:before="100" w:beforeAutospacing="1"/>
    </w:pPr>
  </w:style>
  <w:style w:type="character" w:styleId="20" w:customStyle="1">
    <w:name w:val="Основний текст Знак2"/>
    <w:basedOn w:val="a0"/>
    <w:rsid w:val="00302EE8"/>
    <w:rPr>
      <w:rFonts w:ascii="Times New Roman" w:cs="Times New Roman" w:hAnsi="Times New Roman"/>
      <w:sz w:val="27"/>
      <w:szCs w:val="27"/>
      <w:u w:val="none"/>
    </w:rPr>
  </w:style>
  <w:style w:type="paragraph" w:styleId="aff1">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f2" w:customStyle="1">
    <w:basedOn w:val="TableNormal3"/>
    <w:tblPr>
      <w:tblStyleRowBandSize w:val="1"/>
      <w:tblStyleColBandSize w:val="1"/>
      <w:tblCellMar>
        <w:left w:w="108.0" w:type="dxa"/>
        <w:right w:w="108.0" w:type="dxa"/>
      </w:tblCellMar>
    </w:tblPr>
  </w:style>
  <w:style w:type="table" w:styleId="aff3" w:customStyle="1">
    <w:basedOn w:val="TableNormal3"/>
    <w:tblPr>
      <w:tblStyleRowBandSize w:val="1"/>
      <w:tblStyleColBandSize w:val="1"/>
    </w:tblPr>
  </w:style>
  <w:style w:type="character" w:styleId="rvts37" w:customStyle="1">
    <w:name w:val="rvts37"/>
    <w:basedOn w:val="a0"/>
    <w:rsid w:val="007C57B8"/>
  </w:style>
  <w:style w:type="table" w:styleId="aff4" w:customStyle="1">
    <w:basedOn w:val="TableNormal3"/>
    <w:tblPr>
      <w:tblStyleRowBandSize w:val="1"/>
      <w:tblStyleColBandSize w:val="1"/>
      <w:tblCellMar>
        <w:left w:w="108.0" w:type="dxa"/>
        <w:right w:w="108.0" w:type="dxa"/>
      </w:tblCellMar>
    </w:tblPr>
  </w:style>
  <w:style w:type="table" w:styleId="aff5" w:customStyle="1">
    <w:basedOn w:val="TableNormal3"/>
    <w:tblPr>
      <w:tblStyleRowBandSize w:val="1"/>
      <w:tblStyleColBandSize w:val="1"/>
      <w:tblCellMar>
        <w:left w:w="108.0" w:type="dxa"/>
        <w:right w:w="108.0" w:type="dxa"/>
      </w:tblCellMar>
    </w:tblPr>
  </w:style>
  <w:style w:type="table" w:styleId="aff6" w:customStyle="1">
    <w:basedOn w:val="TableNormal3"/>
    <w:tblPr>
      <w:tblStyleRowBandSize w:val="1"/>
      <w:tblStyleColBandSize w:val="1"/>
      <w:tblCellMar>
        <w:left w:w="108.0" w:type="dxa"/>
        <w:right w:w="108.0" w:type="dxa"/>
      </w:tblCellMar>
    </w:tblPr>
  </w:style>
  <w:style w:type="table" w:styleId="aff7" w:customStyle="1">
    <w:basedOn w:val="TableNormal3"/>
    <w:tblPr>
      <w:tblStyleRowBandSize w:val="1"/>
      <w:tblStyleColBandSize w:val="1"/>
      <w:tblCellMar>
        <w:left w:w="108.0" w:type="dxa"/>
        <w:right w:w="108.0" w:type="dxa"/>
      </w:tblCellMar>
    </w:tblPr>
  </w:style>
  <w:style w:type="table" w:styleId="aff8" w:customStyle="1">
    <w:basedOn w:val="TableNormal3"/>
    <w:tblPr>
      <w:tblStyleRowBandSize w:val="1"/>
      <w:tblStyleColBandSize w:val="1"/>
      <w:tblCellMar>
        <w:top w:w="100.0" w:type="dxa"/>
        <w:left w:w="100.0" w:type="dxa"/>
        <w:bottom w:w="100.0" w:type="dxa"/>
        <w:right w:w="100.0" w:type="dxa"/>
      </w:tblCellMar>
    </w:tblPr>
  </w:style>
  <w:style w:type="table" w:styleId="aff9" w:customStyle="1">
    <w:basedOn w:val="TableNormal1"/>
    <w:tblPr>
      <w:tblStyleRowBandSize w:val="1"/>
      <w:tblStyleColBandSize w:val="1"/>
      <w:tblCellMar>
        <w:top w:w="100.0" w:type="dxa"/>
        <w:left w:w="100.0" w:type="dxa"/>
        <w:bottom w:w="100.0" w:type="dxa"/>
        <w:right w:w="100.0" w:type="dxa"/>
      </w:tblCellMar>
    </w:tblPr>
  </w:style>
  <w:style w:type="table" w:styleId="affa" w:customStyle="1">
    <w:basedOn w:val="TableNormal1"/>
    <w:tblPr>
      <w:tblStyleRowBandSize w:val="1"/>
      <w:tblStyleColBandSize w:val="1"/>
      <w:tblCellMar>
        <w:top w:w="100.0" w:type="dxa"/>
        <w:left w:w="100.0" w:type="dxa"/>
        <w:bottom w:w="100.0" w:type="dxa"/>
        <w:right w:w="100.0" w:type="dxa"/>
      </w:tblCellMar>
    </w:tblPr>
  </w:style>
  <w:style w:type="table" w:styleId="affb" w:customStyle="1">
    <w:basedOn w:val="TableNormal1"/>
    <w:tblPr>
      <w:tblStyleRowBandSize w:val="1"/>
      <w:tblStyleColBandSize w:val="1"/>
      <w:tblCellMar>
        <w:top w:w="100.0" w:type="dxa"/>
        <w:left w:w="100.0" w:type="dxa"/>
        <w:bottom w:w="100.0" w:type="dxa"/>
        <w:right w:w="100.0" w:type="dxa"/>
      </w:tblCellMar>
    </w:tblPr>
  </w:style>
  <w:style w:type="table" w:styleId="affc" w:customStyle="1">
    <w:basedOn w:val="TableNormal0"/>
    <w:tblPr>
      <w:tblStyleRowBandSize w:val="1"/>
      <w:tblStyleColBandSize w:val="1"/>
      <w:tblCellMar>
        <w:top w:w="100.0" w:type="dxa"/>
        <w:left w:w="100.0" w:type="dxa"/>
        <w:bottom w:w="100.0" w:type="dxa"/>
        <w:right w:w="100.0" w:type="dxa"/>
      </w:tblCellMar>
    </w:tblPr>
  </w:style>
  <w:style w:type="table" w:styleId="affd" w:customStyle="1">
    <w:basedOn w:val="TableNormal0"/>
    <w:tblPr>
      <w:tblStyleRowBandSize w:val="1"/>
      <w:tblStyleColBandSize w:val="1"/>
      <w:tblCellMar>
        <w:top w:w="100.0" w:type="dxa"/>
        <w:left w:w="100.0" w:type="dxa"/>
        <w:bottom w:w="100.0" w:type="dxa"/>
        <w:right w:w="100.0" w:type="dxa"/>
      </w:tblCellMar>
    </w:tblPr>
  </w:style>
  <w:style w:type="table" w:styleId="affe"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i4/Ikcm6nYxiFFgnH+diR1nSQ==">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2022-07-08T09:50:00Z</dcterms:created>
  <dc:creator>Онопрійчук Олександр Володимирович</dc:creator>
</cp:coreProperties>
</file>