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62" w:type="dxa"/>
        <w:tblLayout w:type="fixed"/>
        <w:tblLook w:val="0400" w:firstRow="0" w:lastRow="0" w:firstColumn="0" w:lastColumn="0" w:noHBand="0" w:noVBand="1"/>
      </w:tblPr>
      <w:tblGrid>
        <w:gridCol w:w="4961"/>
      </w:tblGrid>
      <w:tr w:rsidR="00992403" w:rsidRPr="004253E6" w14:paraId="52A88C95" w14:textId="77777777" w:rsidTr="007207EA">
        <w:tc>
          <w:tcPr>
            <w:tcW w:w="4961" w:type="dxa"/>
          </w:tcPr>
          <w:p w14:paraId="47E1F5F1" w14:textId="795B6738" w:rsidR="00992403" w:rsidRDefault="00992403" w:rsidP="00A74EFF">
            <w:pPr>
              <w:pStyle w:val="st14"/>
              <w:spacing w:before="0" w:after="0"/>
              <w:rPr>
                <w:rStyle w:val="st42"/>
              </w:rPr>
            </w:pPr>
            <w:bookmarkStart w:id="0" w:name="_GoBack"/>
            <w:bookmarkEnd w:id="0"/>
            <w:r>
              <w:rPr>
                <w:rStyle w:val="st42"/>
              </w:rPr>
              <w:t xml:space="preserve">Додаток </w:t>
            </w:r>
            <w:r>
              <w:rPr>
                <w:rStyle w:val="st42"/>
                <w:lang w:val="uk-UA"/>
              </w:rPr>
              <w:t>2</w:t>
            </w:r>
            <w:r w:rsidR="00FF2F78">
              <w:rPr>
                <w:rStyle w:val="st42"/>
                <w:lang w:val="uk-UA"/>
              </w:rPr>
              <w:t>2</w:t>
            </w:r>
          </w:p>
          <w:p w14:paraId="78E5373E" w14:textId="77777777" w:rsidR="007207EA" w:rsidRDefault="003633BE" w:rsidP="00A74EFF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наказу Національного банку України</w:t>
            </w:r>
          </w:p>
          <w:p w14:paraId="42A50547" w14:textId="64F3D2A7" w:rsidR="00992403" w:rsidRPr="00992403" w:rsidRDefault="003633BE" w:rsidP="00A74EFF">
            <w:pPr>
              <w:pStyle w:val="st14"/>
              <w:spacing w:before="0" w:after="0"/>
              <w:rPr>
                <w:rStyle w:val="st42"/>
                <w:color w:val="FF0000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  <w:r w:rsidR="00992403">
              <w:rPr>
                <w:rStyle w:val="st42"/>
                <w:lang w:val="uk-UA"/>
              </w:rPr>
              <w:t xml:space="preserve"> </w:t>
            </w:r>
          </w:p>
          <w:p w14:paraId="4FC84FC1" w14:textId="4B6C91DB" w:rsidR="00992403" w:rsidRPr="00246465" w:rsidRDefault="00992403" w:rsidP="007207EA">
            <w:pPr>
              <w:pStyle w:val="st14"/>
              <w:spacing w:before="0" w:after="0"/>
              <w:rPr>
                <w:noProof/>
                <w:color w:val="000000"/>
                <w:lang w:val="uk-UA"/>
              </w:rPr>
            </w:pPr>
            <w:r w:rsidRPr="00246465">
              <w:rPr>
                <w:noProof/>
                <w:color w:val="000000"/>
                <w:lang w:val="uk-UA"/>
              </w:rPr>
              <w:t xml:space="preserve">(пункт 475 глави 40 розділу </w:t>
            </w:r>
            <w:r>
              <w:rPr>
                <w:noProof/>
                <w:color w:val="000000"/>
                <w:lang w:val="en-US"/>
              </w:rPr>
              <w:t>V</w:t>
            </w:r>
            <w:r w:rsidRPr="00246465">
              <w:rPr>
                <w:noProof/>
                <w:color w:val="000000"/>
                <w:lang w:val="uk-UA"/>
              </w:rPr>
              <w:t xml:space="preserve"> Положення про авторизацію надавачів фінансових послуг та умови здійснення ними діяльності з надання фінансових послуг)</w:t>
            </w:r>
          </w:p>
        </w:tc>
      </w:tr>
    </w:tbl>
    <w:p w14:paraId="2726186E" w14:textId="77777777" w:rsidR="00992403" w:rsidRPr="00246465" w:rsidRDefault="00992403" w:rsidP="00277B5C">
      <w:pPr>
        <w:rPr>
          <w:noProof/>
          <w:color w:val="000000"/>
          <w:sz w:val="24"/>
          <w:szCs w:val="24"/>
        </w:rPr>
      </w:pPr>
    </w:p>
    <w:p w14:paraId="7B8407CD" w14:textId="332E218F" w:rsidR="00992403" w:rsidRPr="00F90BE9" w:rsidRDefault="009F1CFC" w:rsidP="00277B5C">
      <w:pPr>
        <w:pStyle w:val="10"/>
        <w:spacing w:before="150" w:after="15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90BE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Орієнтовний перелік</w:t>
      </w:r>
      <w:r w:rsidR="00992403" w:rsidRPr="00F90BE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992403" w:rsidRPr="00F90BE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br/>
        <w:t>фінансових показників для аналізу фінансового стану юридичних осіб (крім банків)</w:t>
      </w:r>
    </w:p>
    <w:p w14:paraId="132C4D7E" w14:textId="77777777" w:rsidR="00992403" w:rsidRPr="004253E6" w:rsidRDefault="00992403" w:rsidP="00E154C0">
      <w:pPr>
        <w:pStyle w:val="af3"/>
        <w:numPr>
          <w:ilvl w:val="0"/>
          <w:numId w:val="17"/>
        </w:numPr>
        <w:tabs>
          <w:tab w:val="left" w:pos="4253"/>
          <w:tab w:val="left" w:pos="4536"/>
          <w:tab w:val="left" w:pos="4678"/>
          <w:tab w:val="left" w:pos="4820"/>
        </w:tabs>
        <w:spacing w:before="280" w:after="280"/>
        <w:jc w:val="center"/>
        <w:rPr>
          <w:noProof/>
          <w:color w:val="000000"/>
          <w:sz w:val="24"/>
          <w:szCs w:val="24"/>
          <w:lang w:val="en-AU"/>
        </w:rPr>
      </w:pPr>
      <w:r w:rsidRPr="004253E6">
        <w:rPr>
          <w:noProof/>
          <w:color w:val="000000"/>
          <w:sz w:val="24"/>
          <w:szCs w:val="24"/>
          <w:lang w:val="en-AU"/>
        </w:rPr>
        <w:t>Показники</w:t>
      </w:r>
    </w:p>
    <w:p w14:paraId="25A5A4BB" w14:textId="77777777" w:rsidR="00992403" w:rsidRPr="004253E6" w:rsidRDefault="00992403" w:rsidP="00277B5C">
      <w:pPr>
        <w:spacing w:before="280"/>
        <w:jc w:val="right"/>
        <w:rPr>
          <w:noProof/>
          <w:color w:val="000000"/>
          <w:sz w:val="24"/>
          <w:szCs w:val="24"/>
          <w:lang w:val="en-AU"/>
        </w:rPr>
      </w:pPr>
      <w:r w:rsidRPr="004253E6">
        <w:rPr>
          <w:noProof/>
          <w:color w:val="000000"/>
          <w:sz w:val="24"/>
          <w:szCs w:val="24"/>
          <w:lang w:val="en-AU"/>
        </w:rPr>
        <w:t>Таблиця 1</w:t>
      </w: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5237"/>
        <w:gridCol w:w="3736"/>
      </w:tblGrid>
      <w:tr w:rsidR="00992403" w:rsidRPr="004253E6" w14:paraId="253593A6" w14:textId="77777777" w:rsidTr="00277B5C">
        <w:trPr>
          <w:trHeight w:val="76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581F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№ з/п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9453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Назва показників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FFAF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Група показника</w:t>
            </w:r>
          </w:p>
        </w:tc>
      </w:tr>
      <w:tr w:rsidR="00992403" w:rsidRPr="004253E6" w14:paraId="0C4C8607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0E31" w14:textId="77777777" w:rsidR="00992403" w:rsidRPr="004253E6" w:rsidRDefault="0099240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1AD6" w14:textId="77777777" w:rsidR="00992403" w:rsidRPr="004253E6" w:rsidRDefault="0099240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3D96" w14:textId="77777777" w:rsidR="00992403" w:rsidRPr="004253E6" w:rsidRDefault="0099240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3</w:t>
            </w:r>
          </w:p>
        </w:tc>
      </w:tr>
      <w:tr w:rsidR="00992403" w:rsidRPr="004253E6" w14:paraId="387471B3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76EF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981A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Показник поточної ліквідності (П1)</w:t>
            </w:r>
          </w:p>
        </w:tc>
        <w:tc>
          <w:tcPr>
            <w:tcW w:w="3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D8DD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Ліквідності</w:t>
            </w:r>
          </w:p>
        </w:tc>
      </w:tr>
      <w:tr w:rsidR="00992403" w:rsidRPr="004253E6" w14:paraId="2FB263A6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AA94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E5B3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Показник швидкої ліквідності (П2)</w:t>
            </w:r>
          </w:p>
        </w:tc>
        <w:tc>
          <w:tcPr>
            <w:tcW w:w="3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007C" w14:textId="77777777" w:rsidR="00992403" w:rsidRPr="004253E6" w:rsidRDefault="00992403" w:rsidP="00277B5C">
            <w:pPr>
              <w:widowControl w:val="0"/>
              <w:spacing w:before="120" w:after="120" w:line="276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992403" w:rsidRPr="004253E6" w14:paraId="0F3FF9AD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9F89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2882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Показник власного капіталу (П3)</w:t>
            </w:r>
          </w:p>
        </w:tc>
        <w:tc>
          <w:tcPr>
            <w:tcW w:w="3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BF9E" w14:textId="2B3FCD3C" w:rsidR="00992403" w:rsidRPr="004253E6" w:rsidRDefault="00992403" w:rsidP="00A639F4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Структур</w:t>
            </w:r>
            <w:r w:rsidR="00A639F4">
              <w:rPr>
                <w:noProof/>
                <w:color w:val="000000"/>
                <w:sz w:val="24"/>
                <w:szCs w:val="24"/>
              </w:rPr>
              <w:t>и</w:t>
            </w: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 xml:space="preserve"> капіталу</w:t>
            </w:r>
          </w:p>
        </w:tc>
      </w:tr>
      <w:tr w:rsidR="00992403" w:rsidRPr="004253E6" w14:paraId="3E4E6383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1D31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B53F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Показник боргового навантаження (П4)</w:t>
            </w:r>
          </w:p>
        </w:tc>
        <w:tc>
          <w:tcPr>
            <w:tcW w:w="3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0090" w14:textId="77777777" w:rsidR="00992403" w:rsidRPr="004253E6" w:rsidRDefault="00992403" w:rsidP="00277B5C">
            <w:pPr>
              <w:widowControl w:val="0"/>
              <w:spacing w:before="120" w:after="120" w:line="276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992403" w:rsidRPr="004253E6" w14:paraId="5FD6774A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7234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1805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Показник операційної маржі (П5)</w:t>
            </w:r>
          </w:p>
        </w:tc>
        <w:tc>
          <w:tcPr>
            <w:tcW w:w="3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5D92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Прибутковості</w:t>
            </w:r>
          </w:p>
        </w:tc>
      </w:tr>
      <w:tr w:rsidR="00992403" w:rsidRPr="004253E6" w14:paraId="58982A66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3623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6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B7E7" w14:textId="77777777" w:rsidR="00992403" w:rsidRPr="00F13587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F13587">
              <w:rPr>
                <w:noProof/>
                <w:color w:val="000000"/>
                <w:sz w:val="24"/>
                <w:szCs w:val="24"/>
                <w:lang w:val="ru-RU"/>
              </w:rPr>
              <w:t>Показник чистої прибуткової маржі (П6)</w:t>
            </w:r>
          </w:p>
        </w:tc>
        <w:tc>
          <w:tcPr>
            <w:tcW w:w="3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F4EE" w14:textId="77777777" w:rsidR="00992403" w:rsidRPr="00F13587" w:rsidRDefault="00992403" w:rsidP="00277B5C">
            <w:pPr>
              <w:widowControl w:val="0"/>
              <w:spacing w:before="120" w:after="120" w:line="276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992403" w:rsidRPr="004253E6" w14:paraId="4E7BBEE4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6006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7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9F45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Показник рентабельності активів (П7)</w:t>
            </w:r>
          </w:p>
        </w:tc>
        <w:tc>
          <w:tcPr>
            <w:tcW w:w="3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F2C9" w14:textId="77777777" w:rsidR="00992403" w:rsidRPr="004253E6" w:rsidRDefault="00992403" w:rsidP="00277B5C">
            <w:pPr>
              <w:widowControl w:val="0"/>
              <w:spacing w:before="120" w:after="120" w:line="276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992403" w:rsidRPr="004253E6" w14:paraId="07AE1710" w14:textId="77777777" w:rsidTr="00277B5C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21AB" w14:textId="77777777" w:rsidR="00992403" w:rsidRPr="004253E6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4253E6">
              <w:rPr>
                <w:noProof/>
                <w:color w:val="000000"/>
                <w:sz w:val="24"/>
                <w:szCs w:val="24"/>
                <w:lang w:val="en-AU"/>
              </w:rPr>
              <w:t>8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8C17" w14:textId="77777777" w:rsidR="00992403" w:rsidRPr="00F13587" w:rsidRDefault="0099240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F13587">
              <w:rPr>
                <w:noProof/>
                <w:color w:val="000000"/>
                <w:sz w:val="24"/>
                <w:szCs w:val="24"/>
                <w:lang w:val="ru-RU"/>
              </w:rPr>
              <w:t>Показник рентабельності власного капіталу (П8)</w:t>
            </w:r>
          </w:p>
        </w:tc>
        <w:tc>
          <w:tcPr>
            <w:tcW w:w="3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28A5" w14:textId="77777777" w:rsidR="00992403" w:rsidRPr="00F13587" w:rsidRDefault="00992403" w:rsidP="00277B5C">
            <w:pPr>
              <w:widowControl w:val="0"/>
              <w:spacing w:before="120" w:after="120" w:line="276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CB7817A" w14:textId="77777777" w:rsidR="00992403" w:rsidRPr="00F13587" w:rsidRDefault="00992403" w:rsidP="00277B5C">
      <w:pPr>
        <w:spacing w:before="280" w:after="280"/>
        <w:jc w:val="center"/>
        <w:rPr>
          <w:noProof/>
          <w:color w:val="000000"/>
          <w:sz w:val="24"/>
          <w:szCs w:val="24"/>
          <w:lang w:val="ru-RU"/>
        </w:rPr>
      </w:pPr>
      <w:r w:rsidRPr="004253E6">
        <w:rPr>
          <w:noProof/>
          <w:color w:val="000000"/>
          <w:sz w:val="24"/>
          <w:szCs w:val="24"/>
          <w:lang w:val="en-AU"/>
        </w:rPr>
        <w:t>II</w:t>
      </w:r>
      <w:r w:rsidRPr="00F13587">
        <w:rPr>
          <w:noProof/>
          <w:color w:val="000000"/>
          <w:sz w:val="24"/>
          <w:szCs w:val="24"/>
          <w:lang w:val="ru-RU"/>
        </w:rPr>
        <w:t>. Порядок розрахунку та критерії аналізу показників фінансового стану юридичної особи</w:t>
      </w:r>
    </w:p>
    <w:p w14:paraId="66EEF5CB" w14:textId="77777777" w:rsidR="00992403" w:rsidRPr="00F13587" w:rsidRDefault="00992403" w:rsidP="00E154C0">
      <w:pPr>
        <w:tabs>
          <w:tab w:val="left" w:pos="4536"/>
        </w:tabs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1. Показник поточної ліквідності (П1) (</w:t>
      </w:r>
      <w:r w:rsidRPr="004253E6">
        <w:rPr>
          <w:noProof/>
          <w:color w:val="000000"/>
          <w:sz w:val="24"/>
          <w:szCs w:val="24"/>
          <w:lang w:val="en-AU"/>
        </w:rPr>
        <w:t>Current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Ratio</w:t>
      </w:r>
      <w:r w:rsidRPr="00F13587">
        <w:rPr>
          <w:noProof/>
          <w:color w:val="000000"/>
          <w:sz w:val="24"/>
          <w:szCs w:val="24"/>
          <w:lang w:val="ru-RU"/>
        </w:rPr>
        <w:t xml:space="preserve">, </w:t>
      </w:r>
      <w:r w:rsidRPr="004253E6">
        <w:rPr>
          <w:noProof/>
          <w:color w:val="000000"/>
          <w:sz w:val="24"/>
          <w:szCs w:val="24"/>
          <w:lang w:val="en-AU"/>
        </w:rPr>
        <w:t>CR</w:t>
      </w:r>
      <w:r w:rsidRPr="00F13587">
        <w:rPr>
          <w:noProof/>
          <w:color w:val="000000"/>
          <w:sz w:val="24"/>
          <w:szCs w:val="24"/>
          <w:lang w:val="ru-RU"/>
        </w:rPr>
        <w:t>) визначається як співвідношення суми всіх оборотних засобів у вигляді запасів, короткострокової дебіторської заборгованості, виключаючи прострочену заборгованість, короткострокових фінансових вкладень, грошових коштів та інших оборотних активів до поточних зобов’язань.</w:t>
      </w:r>
    </w:p>
    <w:p w14:paraId="785849BB" w14:textId="77777777" w:rsidR="00992403" w:rsidRPr="00F13587" w:rsidRDefault="00992403" w:rsidP="00E154C0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Показник поточної ліквідності відображає, наскільки поточні зобов’язання покриваються оборотними активами. Аналіз цього коефіцієнта характеризує платоспроможність юридичної особи.</w:t>
      </w:r>
    </w:p>
    <w:p w14:paraId="6E1174BB" w14:textId="77777777" w:rsidR="00992403" w:rsidRPr="00F13587" w:rsidRDefault="00992403" w:rsidP="00277B5C">
      <w:pPr>
        <w:ind w:firstLine="720"/>
        <w:rPr>
          <w:noProof/>
          <w:color w:val="000000"/>
          <w:sz w:val="24"/>
          <w:szCs w:val="24"/>
          <w:lang w:val="ru-RU"/>
        </w:rPr>
      </w:pPr>
    </w:p>
    <w:p w14:paraId="2EB8160E" w14:textId="77777777" w:rsidR="00992403" w:rsidRPr="00F13587" w:rsidRDefault="00992403" w:rsidP="00E154C0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2. Показник швидкої ліквідності (П2) (</w:t>
      </w:r>
      <w:r w:rsidRPr="004253E6">
        <w:rPr>
          <w:noProof/>
          <w:color w:val="000000"/>
          <w:sz w:val="24"/>
          <w:szCs w:val="24"/>
          <w:lang w:val="en-AU"/>
        </w:rPr>
        <w:t>Quick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Ratio</w:t>
      </w:r>
      <w:r w:rsidRPr="00F13587">
        <w:rPr>
          <w:noProof/>
          <w:color w:val="000000"/>
          <w:sz w:val="24"/>
          <w:szCs w:val="24"/>
          <w:lang w:val="ru-RU"/>
        </w:rPr>
        <w:t xml:space="preserve">, </w:t>
      </w:r>
      <w:r w:rsidRPr="004253E6">
        <w:rPr>
          <w:noProof/>
          <w:color w:val="000000"/>
          <w:sz w:val="24"/>
          <w:szCs w:val="24"/>
          <w:lang w:val="en-AU"/>
        </w:rPr>
        <w:t>QR</w:t>
      </w:r>
      <w:r w:rsidRPr="00F13587">
        <w:rPr>
          <w:noProof/>
          <w:color w:val="000000"/>
          <w:sz w:val="24"/>
          <w:szCs w:val="24"/>
          <w:lang w:val="ru-RU"/>
        </w:rPr>
        <w:t>) визначається як співвідношення суми дебіторської заборгованості за продукцію, грошових коштів та їх еквівалентів до поточних зобов’язань.</w:t>
      </w:r>
    </w:p>
    <w:p w14:paraId="6732F51E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lastRenderedPageBreak/>
        <w:t>Показник швидкої ліквідності є індикатором короткострокової ліквідності юридичної особи, що вимірює здатність вчасно погасити свої короткострокові зобов’язання за допомогою високоліквідних активів. Рівень показника швидкої ліквідності оцінюється з урахуванням специфіки галузевої приналежності й діяльності юридичної особи, а також тривалості виробничого циклу, характерного для такого виду діяльності.</w:t>
      </w:r>
    </w:p>
    <w:p w14:paraId="28F27E87" w14:textId="77777777" w:rsidR="00992403" w:rsidRPr="00F13587" w:rsidRDefault="00992403" w:rsidP="00277B5C">
      <w:pPr>
        <w:ind w:firstLine="720"/>
        <w:rPr>
          <w:noProof/>
          <w:color w:val="000000"/>
          <w:sz w:val="24"/>
          <w:szCs w:val="24"/>
          <w:lang w:val="ru-RU"/>
        </w:rPr>
      </w:pPr>
    </w:p>
    <w:p w14:paraId="79ECD9D4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3. Показник власного капіталу (П3) (</w:t>
      </w:r>
      <w:r w:rsidRPr="004253E6">
        <w:rPr>
          <w:noProof/>
          <w:color w:val="000000"/>
          <w:sz w:val="24"/>
          <w:szCs w:val="24"/>
          <w:lang w:val="en-AU"/>
        </w:rPr>
        <w:t>Equity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Ratio</w:t>
      </w:r>
      <w:r w:rsidRPr="00F13587">
        <w:rPr>
          <w:noProof/>
          <w:color w:val="000000"/>
          <w:sz w:val="24"/>
          <w:szCs w:val="24"/>
          <w:lang w:val="ru-RU"/>
        </w:rPr>
        <w:t>) визначається як співвідношення власного капіталу до загальних активів.</w:t>
      </w:r>
    </w:p>
    <w:p w14:paraId="0E6DA396" w14:textId="0BCA392E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 xml:space="preserve">Значення показника </w:t>
      </w:r>
      <w:r w:rsidR="00601CAC">
        <w:rPr>
          <w:noProof/>
          <w:color w:val="000000"/>
          <w:sz w:val="24"/>
          <w:szCs w:val="24"/>
          <w:lang w:val="ru-RU"/>
        </w:rPr>
        <w:t>–</w:t>
      </w:r>
      <w:r w:rsidR="00601CAC"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F13587">
        <w:rPr>
          <w:noProof/>
          <w:color w:val="000000"/>
          <w:sz w:val="24"/>
          <w:szCs w:val="24"/>
          <w:lang w:val="ru-RU"/>
        </w:rPr>
        <w:t>відносна частка власного капіталу, що використовується для фінансування активів компанії.</w:t>
      </w:r>
    </w:p>
    <w:p w14:paraId="1F2977DA" w14:textId="77777777" w:rsidR="00992403" w:rsidRPr="00F13587" w:rsidRDefault="00992403" w:rsidP="00277B5C">
      <w:pPr>
        <w:ind w:firstLine="720"/>
        <w:rPr>
          <w:noProof/>
          <w:color w:val="000000"/>
          <w:sz w:val="24"/>
          <w:szCs w:val="24"/>
          <w:lang w:val="ru-RU"/>
        </w:rPr>
      </w:pPr>
    </w:p>
    <w:p w14:paraId="14E7AF2E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4. Показник боргового навантаження (П4) (</w:t>
      </w:r>
      <w:r w:rsidRPr="004253E6">
        <w:rPr>
          <w:noProof/>
          <w:color w:val="000000"/>
          <w:sz w:val="24"/>
          <w:szCs w:val="24"/>
          <w:lang w:val="en-AU"/>
        </w:rPr>
        <w:t>Debt</w:t>
      </w:r>
      <w:r w:rsidRPr="00F13587">
        <w:rPr>
          <w:noProof/>
          <w:color w:val="000000"/>
          <w:sz w:val="24"/>
          <w:szCs w:val="24"/>
          <w:lang w:val="ru-RU"/>
        </w:rPr>
        <w:t>/</w:t>
      </w:r>
      <w:r w:rsidRPr="004253E6">
        <w:rPr>
          <w:noProof/>
          <w:color w:val="000000"/>
          <w:sz w:val="24"/>
          <w:szCs w:val="24"/>
          <w:lang w:val="en-AU"/>
        </w:rPr>
        <w:t>EBITDA</w:t>
      </w:r>
      <w:r w:rsidRPr="00F13587">
        <w:rPr>
          <w:noProof/>
          <w:color w:val="000000"/>
          <w:sz w:val="24"/>
          <w:szCs w:val="24"/>
          <w:lang w:val="ru-RU"/>
        </w:rPr>
        <w:t>) розраховується як співвідношення сукупних зобов’язань (довгострокових та короткострокових) до прибутку до вирахування відсотків, податків та амортизації (</w:t>
      </w:r>
      <w:r w:rsidRPr="004253E6">
        <w:rPr>
          <w:noProof/>
          <w:color w:val="000000"/>
          <w:sz w:val="24"/>
          <w:szCs w:val="24"/>
          <w:lang w:val="en-AU"/>
        </w:rPr>
        <w:t>EBITDA</w:t>
      </w:r>
      <w:r w:rsidRPr="00F13587">
        <w:rPr>
          <w:noProof/>
          <w:color w:val="000000"/>
          <w:sz w:val="24"/>
          <w:szCs w:val="24"/>
          <w:lang w:val="ru-RU"/>
        </w:rPr>
        <w:t>).</w:t>
      </w:r>
    </w:p>
    <w:p w14:paraId="1738280B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Показник боргового навантаження характеризує платоспроможність юридичної особи, спроможність обслуговувати наявні зобов’язання.</w:t>
      </w:r>
    </w:p>
    <w:p w14:paraId="6064E78A" w14:textId="77777777" w:rsidR="00992403" w:rsidRPr="00F13587" w:rsidRDefault="00992403" w:rsidP="00277B5C">
      <w:pPr>
        <w:ind w:firstLine="720"/>
        <w:rPr>
          <w:noProof/>
          <w:color w:val="000000"/>
          <w:sz w:val="24"/>
          <w:szCs w:val="24"/>
          <w:lang w:val="ru-RU"/>
        </w:rPr>
      </w:pPr>
    </w:p>
    <w:p w14:paraId="1A138628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5. Показник операційної маржі (П5) (</w:t>
      </w:r>
      <w:r w:rsidRPr="004253E6">
        <w:rPr>
          <w:noProof/>
          <w:color w:val="000000"/>
          <w:sz w:val="24"/>
          <w:szCs w:val="24"/>
          <w:lang w:val="en-AU"/>
        </w:rPr>
        <w:t>Operating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Margin</w:t>
      </w:r>
      <w:r w:rsidRPr="00F13587">
        <w:rPr>
          <w:noProof/>
          <w:color w:val="000000"/>
          <w:sz w:val="24"/>
          <w:szCs w:val="24"/>
          <w:lang w:val="ru-RU"/>
        </w:rPr>
        <w:t>) визначається як співвідношення суми фінансового результату від операційної діяльності (</w:t>
      </w:r>
      <w:r w:rsidRPr="004253E6">
        <w:rPr>
          <w:noProof/>
          <w:color w:val="000000"/>
          <w:sz w:val="24"/>
          <w:szCs w:val="24"/>
          <w:lang w:val="en-AU"/>
        </w:rPr>
        <w:t>Operating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Profit</w:t>
      </w:r>
      <w:r w:rsidRPr="00F13587">
        <w:rPr>
          <w:noProof/>
          <w:color w:val="000000"/>
          <w:sz w:val="24"/>
          <w:szCs w:val="24"/>
          <w:lang w:val="ru-RU"/>
        </w:rPr>
        <w:t>) до суми виручки від реалізації продукції (товарів, робіт, послуг) (</w:t>
      </w:r>
      <w:r w:rsidRPr="004253E6">
        <w:rPr>
          <w:noProof/>
          <w:color w:val="000000"/>
          <w:sz w:val="24"/>
          <w:szCs w:val="24"/>
          <w:lang w:val="en-AU"/>
        </w:rPr>
        <w:t>Revenue</w:t>
      </w:r>
      <w:r w:rsidRPr="00F13587">
        <w:rPr>
          <w:noProof/>
          <w:color w:val="000000"/>
          <w:sz w:val="24"/>
          <w:szCs w:val="24"/>
          <w:lang w:val="ru-RU"/>
        </w:rPr>
        <w:t>) та інших операційних доходів.</w:t>
      </w:r>
    </w:p>
    <w:p w14:paraId="7A0E6B05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Цей показник характеризує питому вагу операційного прибутку в чистому обсязі доходів юридичної особи та визначається у відсотках.</w:t>
      </w:r>
    </w:p>
    <w:p w14:paraId="162C8B64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</w:p>
    <w:p w14:paraId="45EC3672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6. Показник чистої прибуткової маржі (П6) (</w:t>
      </w:r>
      <w:r w:rsidRPr="004253E6">
        <w:rPr>
          <w:noProof/>
          <w:color w:val="000000"/>
          <w:sz w:val="24"/>
          <w:szCs w:val="24"/>
          <w:lang w:val="en-AU"/>
        </w:rPr>
        <w:t>Net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Profit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Margin</w:t>
      </w:r>
      <w:r w:rsidRPr="00F13587">
        <w:rPr>
          <w:noProof/>
          <w:color w:val="000000"/>
          <w:sz w:val="24"/>
          <w:szCs w:val="24"/>
          <w:lang w:val="ru-RU"/>
        </w:rPr>
        <w:t>) визначається як співвідношення суми чистого прибутку (</w:t>
      </w:r>
      <w:r w:rsidRPr="004253E6">
        <w:rPr>
          <w:noProof/>
          <w:color w:val="000000"/>
          <w:sz w:val="24"/>
          <w:szCs w:val="24"/>
          <w:lang w:val="en-AU"/>
        </w:rPr>
        <w:t>Net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Profit</w:t>
      </w:r>
      <w:r w:rsidRPr="00F13587">
        <w:rPr>
          <w:noProof/>
          <w:color w:val="000000"/>
          <w:sz w:val="24"/>
          <w:szCs w:val="24"/>
          <w:lang w:val="ru-RU"/>
        </w:rPr>
        <w:t>) до суми виручки від реалізації продукції (товарів, робіт, послуг) (</w:t>
      </w:r>
      <w:r w:rsidRPr="004253E6">
        <w:rPr>
          <w:noProof/>
          <w:color w:val="000000"/>
          <w:sz w:val="24"/>
          <w:szCs w:val="24"/>
          <w:lang w:val="en-AU"/>
        </w:rPr>
        <w:t>Revenue</w:t>
      </w:r>
      <w:r w:rsidRPr="00F13587">
        <w:rPr>
          <w:noProof/>
          <w:color w:val="000000"/>
          <w:sz w:val="24"/>
          <w:szCs w:val="24"/>
          <w:lang w:val="ru-RU"/>
        </w:rPr>
        <w:t>).</w:t>
      </w:r>
    </w:p>
    <w:p w14:paraId="11F19952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Цей показник характеризує питому вагу чистого прибутку в чистому обсязі доходів юридичної особи та визначається у відсотках.</w:t>
      </w:r>
    </w:p>
    <w:p w14:paraId="7C939376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</w:p>
    <w:p w14:paraId="448D0A4E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7. Показник рентабельності активів (П7) (</w:t>
      </w:r>
      <w:r w:rsidRPr="004253E6">
        <w:rPr>
          <w:noProof/>
          <w:color w:val="000000"/>
          <w:sz w:val="24"/>
          <w:szCs w:val="24"/>
          <w:lang w:val="en-AU"/>
        </w:rPr>
        <w:t>Return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on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assets</w:t>
      </w:r>
      <w:r w:rsidRPr="00F13587">
        <w:rPr>
          <w:noProof/>
          <w:color w:val="000000"/>
          <w:sz w:val="24"/>
          <w:szCs w:val="24"/>
          <w:lang w:val="ru-RU"/>
        </w:rPr>
        <w:t xml:space="preserve">, </w:t>
      </w:r>
      <w:r w:rsidRPr="004253E6">
        <w:rPr>
          <w:noProof/>
          <w:color w:val="000000"/>
          <w:sz w:val="24"/>
          <w:szCs w:val="24"/>
          <w:lang w:val="en-AU"/>
        </w:rPr>
        <w:t>ROA</w:t>
      </w:r>
      <w:r w:rsidRPr="00F13587">
        <w:rPr>
          <w:noProof/>
          <w:color w:val="000000"/>
          <w:sz w:val="24"/>
          <w:szCs w:val="24"/>
          <w:lang w:val="ru-RU"/>
        </w:rPr>
        <w:t>) визначається як співвідношення прибутку до оподаткування до середньорічної величини активів.</w:t>
      </w:r>
    </w:p>
    <w:p w14:paraId="71D136AA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Рентабельність активів відображає ефективність використання активів юридичної особи для генерації прибутку та визначається у відсотках.</w:t>
      </w:r>
    </w:p>
    <w:p w14:paraId="022AF9EB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</w:p>
    <w:p w14:paraId="45C25E0C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8. Показник рентабельності власного капіталу (П8) (</w:t>
      </w:r>
      <w:r w:rsidRPr="004253E6">
        <w:rPr>
          <w:noProof/>
          <w:color w:val="000000"/>
          <w:sz w:val="24"/>
          <w:szCs w:val="24"/>
          <w:lang w:val="en-AU"/>
        </w:rPr>
        <w:t>Return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on</w:t>
      </w:r>
      <w:r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4253E6">
        <w:rPr>
          <w:noProof/>
          <w:color w:val="000000"/>
          <w:sz w:val="24"/>
          <w:szCs w:val="24"/>
          <w:lang w:val="en-AU"/>
        </w:rPr>
        <w:t>equity</w:t>
      </w:r>
      <w:r w:rsidRPr="00F13587">
        <w:rPr>
          <w:noProof/>
          <w:color w:val="000000"/>
          <w:sz w:val="24"/>
          <w:szCs w:val="24"/>
          <w:lang w:val="ru-RU"/>
        </w:rPr>
        <w:t xml:space="preserve">, </w:t>
      </w:r>
      <w:r w:rsidRPr="004253E6">
        <w:rPr>
          <w:noProof/>
          <w:color w:val="000000"/>
          <w:sz w:val="24"/>
          <w:szCs w:val="24"/>
          <w:lang w:val="en-AU"/>
        </w:rPr>
        <w:t>ROE</w:t>
      </w:r>
      <w:r w:rsidRPr="00F13587">
        <w:rPr>
          <w:noProof/>
          <w:color w:val="000000"/>
          <w:sz w:val="24"/>
          <w:szCs w:val="24"/>
          <w:lang w:val="ru-RU"/>
        </w:rPr>
        <w:t>) визначається як співвідношення прибутку до оподаткування до власного капіталу.</w:t>
      </w:r>
    </w:p>
    <w:p w14:paraId="4C9EDC9C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Рентабельність власного капіталу характеризує ефективність використання власного капіталу юридичної особи для генерації прибутку та визначається у відсотках.</w:t>
      </w:r>
    </w:p>
    <w:p w14:paraId="05822CE2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</w:p>
    <w:p w14:paraId="6E009644" w14:textId="2658653E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 xml:space="preserve">9. Рівень кожного з показників, зазначених у таблиці 1 </w:t>
      </w:r>
      <w:r>
        <w:rPr>
          <w:noProof/>
          <w:color w:val="000000"/>
          <w:sz w:val="24"/>
          <w:szCs w:val="24"/>
          <w:lang w:val="ru-RU"/>
        </w:rPr>
        <w:t>цього переліку</w:t>
      </w:r>
      <w:r w:rsidRPr="00F13587">
        <w:rPr>
          <w:noProof/>
          <w:color w:val="000000"/>
          <w:sz w:val="24"/>
          <w:szCs w:val="24"/>
          <w:lang w:val="ru-RU"/>
        </w:rPr>
        <w:t>, залежить від специфіки діяльності юридичної особи, зокрема визначається галузевою належністю, тривалістю виробничого циклу, структурою запасів і витрат, впливом зовнішніх чинників на фінансовий стан юридичної особи, а саме: стан галузі (виду економічної діяльності), до якої вона належить, значущість юридичної особи в масштабах галузі (виду економічної діяльності), порівняльні дані показників у динаміці за юридичними особами, що здійснюють діяльність в аналогічних умовах.</w:t>
      </w:r>
    </w:p>
    <w:p w14:paraId="2791A970" w14:textId="05664036" w:rsidR="00992403" w:rsidRPr="00992403" w:rsidRDefault="00992403" w:rsidP="00E154C0">
      <w:pPr>
        <w:spacing w:after="120"/>
        <w:ind w:firstLine="567"/>
        <w:rPr>
          <w:noProof/>
          <w:color w:val="000000"/>
          <w:sz w:val="24"/>
          <w:szCs w:val="24"/>
        </w:rPr>
      </w:pPr>
      <w:r w:rsidRPr="00992403">
        <w:rPr>
          <w:noProof/>
          <w:color w:val="000000"/>
          <w:sz w:val="24"/>
          <w:szCs w:val="24"/>
        </w:rPr>
        <w:lastRenderedPageBreak/>
        <w:t>Під час визначення оптимального значення показників або для порівняння можливо застосовувати їх середній рівень, що склався серед юридичних осіб такого виду економічної діяльності (галузі), що здійснюють діяльність у порівнян</w:t>
      </w:r>
      <w:r w:rsidR="00680E17">
        <w:rPr>
          <w:noProof/>
          <w:color w:val="000000"/>
          <w:sz w:val="24"/>
          <w:szCs w:val="24"/>
        </w:rPr>
        <w:t>н</w:t>
      </w:r>
      <w:r w:rsidRPr="00992403">
        <w:rPr>
          <w:noProof/>
          <w:color w:val="000000"/>
          <w:sz w:val="24"/>
          <w:szCs w:val="24"/>
        </w:rPr>
        <w:t>их умовах у масштабах регіону або держави.</w:t>
      </w:r>
    </w:p>
    <w:p w14:paraId="1A1DF58C" w14:textId="77777777" w:rsidR="00992403" w:rsidRPr="00BD24C0" w:rsidRDefault="00992403" w:rsidP="00601CAC">
      <w:pPr>
        <w:ind w:firstLine="567"/>
        <w:rPr>
          <w:noProof/>
          <w:color w:val="000000"/>
          <w:sz w:val="24"/>
          <w:szCs w:val="24"/>
        </w:rPr>
      </w:pPr>
      <w:r w:rsidRPr="00BD24C0">
        <w:rPr>
          <w:noProof/>
          <w:color w:val="000000"/>
          <w:sz w:val="24"/>
          <w:szCs w:val="24"/>
        </w:rPr>
        <w:t>Під час проведення аналізу значень показників доцільно порівняти їх із величиною або динамікою цих самих показників у юридичних осіб, які мають аналогічні масштаби діяльності та/або вид діяльності.</w:t>
      </w:r>
    </w:p>
    <w:p w14:paraId="0A61B6C2" w14:textId="77777777" w:rsidR="00992403" w:rsidRPr="00BD24C0" w:rsidRDefault="00992403" w:rsidP="00601CAC">
      <w:pPr>
        <w:ind w:firstLine="567"/>
        <w:rPr>
          <w:noProof/>
          <w:color w:val="000000"/>
          <w:sz w:val="24"/>
          <w:szCs w:val="24"/>
        </w:rPr>
      </w:pPr>
    </w:p>
    <w:p w14:paraId="61ACDB1C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>10. У коментарях до розрахункових показників надається розшифровка тих даних, що містяться у фінансовій звітності та які використовуються для розрахунку відповідного показника. Розшифровка таких даних має відбуватися за принципом суттєвості питомої ваги статті у фінансовій звітності, а саме:</w:t>
      </w:r>
    </w:p>
    <w:p w14:paraId="3F5EA893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</w:p>
    <w:p w14:paraId="2D75DC5B" w14:textId="6C81946C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 xml:space="preserve">1) для балансу (звіту про фінансовий стан) юридичної особи </w:t>
      </w:r>
      <w:r w:rsidR="005823E1">
        <w:rPr>
          <w:noProof/>
          <w:color w:val="000000"/>
          <w:sz w:val="24"/>
          <w:szCs w:val="24"/>
          <w:lang w:val="ru-RU"/>
        </w:rPr>
        <w:t>–</w:t>
      </w:r>
      <w:r w:rsidR="005823E1"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F13587">
        <w:rPr>
          <w:noProof/>
          <w:color w:val="000000"/>
          <w:sz w:val="24"/>
          <w:szCs w:val="24"/>
          <w:lang w:val="ru-RU"/>
        </w:rPr>
        <w:t>10% та більше від валюти балансу станом на відповідну дату;</w:t>
      </w:r>
    </w:p>
    <w:p w14:paraId="1D935771" w14:textId="77777777" w:rsidR="00992403" w:rsidRPr="00F13587" w:rsidRDefault="00992403" w:rsidP="00601CAC">
      <w:pPr>
        <w:ind w:firstLine="567"/>
        <w:rPr>
          <w:noProof/>
          <w:color w:val="000000"/>
          <w:sz w:val="24"/>
          <w:szCs w:val="24"/>
          <w:lang w:val="ru-RU"/>
        </w:rPr>
      </w:pPr>
    </w:p>
    <w:p w14:paraId="388E4F5C" w14:textId="4227D41E" w:rsidR="00992403" w:rsidRPr="00F13587" w:rsidRDefault="00992403" w:rsidP="00601CAC">
      <w:pPr>
        <w:ind w:firstLine="567"/>
        <w:rPr>
          <w:noProof/>
          <w:sz w:val="24"/>
          <w:szCs w:val="24"/>
          <w:lang w:val="ru-RU"/>
        </w:rPr>
      </w:pPr>
      <w:r w:rsidRPr="00F13587">
        <w:rPr>
          <w:noProof/>
          <w:color w:val="000000"/>
          <w:sz w:val="24"/>
          <w:szCs w:val="24"/>
          <w:lang w:val="ru-RU"/>
        </w:rPr>
        <w:t xml:space="preserve">2) для звіту про фінансові результати (звіту про сукупний дохід) </w:t>
      </w:r>
      <w:r w:rsidR="005823E1">
        <w:rPr>
          <w:noProof/>
          <w:color w:val="000000"/>
          <w:sz w:val="24"/>
          <w:szCs w:val="24"/>
          <w:lang w:val="ru-RU"/>
        </w:rPr>
        <w:t>–</w:t>
      </w:r>
      <w:r w:rsidR="005823E1" w:rsidRPr="00F13587">
        <w:rPr>
          <w:noProof/>
          <w:color w:val="000000"/>
          <w:sz w:val="24"/>
          <w:szCs w:val="24"/>
          <w:lang w:val="ru-RU"/>
        </w:rPr>
        <w:t xml:space="preserve"> </w:t>
      </w:r>
      <w:r w:rsidRPr="00F13587">
        <w:rPr>
          <w:noProof/>
          <w:color w:val="000000"/>
          <w:sz w:val="24"/>
          <w:szCs w:val="24"/>
          <w:lang w:val="ru-RU"/>
        </w:rPr>
        <w:t>10% та більше ніж розмір сукупного доходу за відповідний період.</w:t>
      </w:r>
    </w:p>
    <w:p w14:paraId="059E5E57" w14:textId="54CAC532" w:rsidR="001977A8" w:rsidRPr="00997745" w:rsidRDefault="001977A8" w:rsidP="00601CAC">
      <w:pPr>
        <w:ind w:firstLine="567"/>
        <w:rPr>
          <w:noProof/>
          <w:sz w:val="24"/>
          <w:szCs w:val="24"/>
          <w:lang w:val="ru-RU"/>
        </w:rPr>
      </w:pPr>
    </w:p>
    <w:p w14:paraId="0556A2EE" w14:textId="24194B84" w:rsidR="002607DF" w:rsidRDefault="002607DF" w:rsidP="00601CAC">
      <w:pPr>
        <w:ind w:firstLine="567"/>
        <w:rPr>
          <w:sz w:val="24"/>
          <w:szCs w:val="24"/>
        </w:rPr>
      </w:pPr>
    </w:p>
    <w:p w14:paraId="47C15C42" w14:textId="24390775" w:rsidR="002607DF" w:rsidRDefault="002607DF" w:rsidP="00601CAC">
      <w:pPr>
        <w:ind w:firstLine="567"/>
        <w:rPr>
          <w:sz w:val="24"/>
          <w:szCs w:val="24"/>
        </w:rPr>
      </w:pPr>
    </w:p>
    <w:sectPr w:rsidR="002607DF" w:rsidSect="000858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9C2489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9C2489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6F8D744C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89">
          <w:rPr>
            <w:noProof/>
          </w:rPr>
          <w:t>3</w:t>
        </w:r>
        <w:r>
          <w:fldChar w:fldCharType="end"/>
        </w:r>
      </w:p>
      <w:p w14:paraId="13A733AD" w14:textId="29B11872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085871">
          <w:rPr>
            <w:sz w:val="24"/>
            <w:szCs w:val="24"/>
          </w:rPr>
          <w:t>2</w:t>
        </w:r>
        <w:r>
          <w:rPr>
            <w:sz w:val="24"/>
            <w:szCs w:val="24"/>
          </w:rPr>
          <w:t>2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9C2489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xIGOaLA3a+5wTwRfVHPVIiMK6/+Sdxrv5yfk1B3+2ZO3c6hukLufkLO3e+QdJrBquOZ81FuLLi+vcwaT1eM2QQ==" w:salt="b1xdMjqt64JBBMYY7sIqpw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87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489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1020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E650DF-F3E4-49CB-92D3-1421698D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671</Words>
  <Characters>4767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20</cp:revision>
  <cp:lastPrinted>2024-01-26T22:42:00Z</cp:lastPrinted>
  <dcterms:created xsi:type="dcterms:W3CDTF">2024-01-24T13:16:00Z</dcterms:created>
  <dcterms:modified xsi:type="dcterms:W3CDTF">2024-01-29T21:19:00Z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