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0" w:leader="none"/>
        </w:tabs>
        <w:spacing w:lineRule="auto" w:line="360"/>
        <w:jc w:val="right"/>
        <w:rPr>
          <w:b/>
          <w:b/>
          <w:bCs/>
          <w:i/>
          <w:i/>
          <w:color w:val="17365D"/>
          <w:sz w:val="28"/>
          <w:szCs w:val="28"/>
          <w:lang w:val="uk-UA"/>
        </w:rPr>
      </w:pPr>
      <w:r>
        <w:rPr>
          <w:lang w:val="uk-UA"/>
        </w:rPr>
        <w:t>Таблиця 4 додатка 5</w:t>
      </w:r>
    </w:p>
    <w:p>
      <w:pPr>
        <w:pStyle w:val="Normal"/>
        <w:tabs>
          <w:tab w:val="clear" w:pos="408"/>
          <w:tab w:val="left" w:pos="0" w:leader="none"/>
        </w:tabs>
        <w:jc w:val="center"/>
        <w:rPr>
          <w:b/>
          <w:b/>
          <w:i/>
          <w:i/>
          <w:color w:val="17365D"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Склад учасників НЕБАНКІВСЬКОЇ ФІНАНСОВОЇ ГРУПИ «ІНЕКО»</w:t>
      </w:r>
    </w:p>
    <w:p>
      <w:pPr>
        <w:pStyle w:val="Normal"/>
        <w:tabs>
          <w:tab w:val="clear" w:pos="408"/>
          <w:tab w:val="left" w:pos="0" w:leader="none"/>
        </w:tabs>
        <w:jc w:val="center"/>
        <w:rPr>
          <w:b/>
          <w:b/>
          <w:i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</w:r>
    </w:p>
    <w:tbl>
      <w:tblPr>
        <w:tblW w:w="1579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7"/>
        <w:gridCol w:w="2551"/>
        <w:gridCol w:w="1417"/>
        <w:gridCol w:w="1418"/>
        <w:gridCol w:w="2126"/>
        <w:gridCol w:w="1134"/>
        <w:gridCol w:w="1561"/>
        <w:gridCol w:w="1561"/>
        <w:gridCol w:w="1442"/>
        <w:gridCol w:w="2017"/>
      </w:tblGrid>
      <w:tr>
        <w:trPr>
          <w:trHeight w:val="152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34" w:hanging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>
              <w:rPr>
                <w:rStyle w:val="FootnoteCharacters"/>
                <w:b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(%)</w:t>
            </w:r>
            <w:r>
              <w:rPr>
                <w:rStyle w:val="FootnoteCharacters"/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righ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34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>
          <w:trHeight w:val="33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Т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ОВАРИСТВО З ОБМЕЖЕНОЮ ВІДПОВІДАЛЬНІСТЮ "АВТОЦЕНТР "МОТОР СІТІ"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38910734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 xml:space="preserve">03039,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м. Київ, вул. Миколи Грінченка, буд. 18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34" w:right="-82" w:hanging="0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 xml:space="preserve">64.99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Надання інших фінансових послуг (крім страхування та пенсійного забезпечення), н. в. і. у. (основний) 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34" w:right="-82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Україна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99,</w:t>
            </w:r>
            <w:r>
              <w:rPr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Так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ТОВАРИСТВО З ОБМЕЖЕНОЮ ВІДПОВІДАЛЬНІСТЮ «ААН «СЕЙЯ-КІРШ-АУДИТ»</w:t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ТОВАРИСТВО З ОБМЕЖЕНОЮ ВІДПОВІДАЛЬНІСТЮ «КОМПАНІЯ З УПРАВЛІННЯ АКТИВАМИ «ІНЕКО-ІНВЕСТ»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21599716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03039, м. Київ, вул. Миколи Грінченка, буд. 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34" w:right="-82" w:hanging="0"/>
              <w:rPr/>
            </w:pPr>
            <w:r>
              <w:rPr>
                <w:lang w:val="uk-UA"/>
              </w:rPr>
              <w:t>66.30 Управління фондами;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34" w:right="-82" w:hanging="0"/>
              <w:rPr/>
            </w:pPr>
            <w:r>
              <w:rPr>
                <w:lang w:val="uk-UA"/>
              </w:rPr>
              <w:t>64.30 Трасти, фонди та подібні фінансові суб'єкти;</w:t>
              <w:br/>
              <w:t>64.99 Надання інших фінансових послуг (крім страхування та пенсійного забезпечення), н. в. і. у.;</w:t>
              <w:br/>
              <w:t>66.19 Інша допоміжна діяльність у сфері фінансових послуг, крім страхування та пенсійного забезпечення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Україна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Так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ТОВАРИСТВО З ОБМЕЖЕНОЮ ВІДПОВІДАЛЬНІСТЮ «ААН «СЕЙЯ-КІРШ-АУДИТ»</w:t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ПУБЛІЧНЕ АКЦІОНЕРНЕ ТОВАРИСТВО "КОРПОРАТИВНИЙ НЕДИВЕРСИФІКОВАНИЙ ІНВЕСТИЦІЙНИЙ ФОНД ЗАКРИТОГО ТИПУ "ІНЕКО РІАЛ ІСТЕЙТ"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34714705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03039, м. Київ, вул. Миколи Грінченка, буд. 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34" w:right="-82" w:hanging="0"/>
              <w:rPr/>
            </w:pPr>
            <w:r>
              <w:rPr>
                <w:lang w:val="uk-UA"/>
              </w:rPr>
              <w:t>64.99 Надання інших фінансових послуг (крім страхування та пенсійного забезпечення), н. в. і. 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-108" w:right="-82" w:hanging="0"/>
              <w:jc w:val="center"/>
              <w:rPr/>
            </w:pPr>
            <w:r>
              <w:rPr>
                <w:lang w:val="uk-UA"/>
              </w:rPr>
              <w:t>Україна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99,9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-108" w:right="-82" w:hanging="0"/>
              <w:jc w:val="center"/>
              <w:rPr/>
            </w:pPr>
            <w:r>
              <w:rPr>
                <w:lang w:val="uk-UA"/>
              </w:rPr>
              <w:t>Так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-108" w:right="-82" w:hanging="0"/>
              <w:jc w:val="center"/>
              <w:rPr/>
            </w:pPr>
            <w:r>
              <w:rPr>
                <w:lang w:val="uk-UA"/>
              </w:rPr>
              <w:t>ТОВАРИСТВО З ОБМЕЖЕНОЮ ВІДПОВІДАЛЬНІСТЮ «ААН «СЕЙЯ-КІРШ-АУДИТ»</w:t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ПУБЛІЧНЕ АКЦІОНЕРНЕ ТОВАРИСТВО "КОРПОРАТИВНИЙ НЕДИВЕРСИФІКОВАНИЙ ІНВЕСТИЦІЙНИЙ ФОНД ЗАКРИТОГО ТИПУ "ІНЕКО-ПРЯМІ ІНВЕСТИЦІЇ"</w:t>
            </w:r>
          </w:p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34714731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03039, м. Київ, вул. Миколи Грінченка, буд. 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34" w:right="-82" w:hanging="0"/>
              <w:rPr/>
            </w:pPr>
            <w:r>
              <w:rPr>
                <w:lang w:val="uk-UA"/>
              </w:rPr>
              <w:t>64.99 Надання інших фінансових послуг (крім страхування та пенсійного забезпечення), н. в. і. 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-108" w:right="-82" w:hanging="0"/>
              <w:jc w:val="center"/>
              <w:rPr/>
            </w:pPr>
            <w:r>
              <w:rPr>
                <w:lang w:val="uk-UA"/>
              </w:rPr>
              <w:t>Україна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99,9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/>
            </w:pPr>
            <w:r>
              <w:rPr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-108" w:right="-82" w:hanging="0"/>
              <w:jc w:val="center"/>
              <w:rPr/>
            </w:pPr>
            <w:r>
              <w:rPr>
                <w:lang w:val="uk-UA"/>
              </w:rPr>
              <w:t>Так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-108" w:right="-82" w:hanging="0"/>
              <w:jc w:val="center"/>
              <w:rPr/>
            </w:pPr>
            <w:r>
              <w:rPr>
                <w:lang w:val="uk-UA"/>
              </w:rPr>
              <w:t>ТОВАРИСТВО З ОБМЕЖЕНОЮ ВІДПОВІДАЛЬНІСТЮ «ААН «СЕЙЯ-КІРШ-АУДИТ»</w:t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suppressAutoHyphens w:val="tru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suppressAutoHyphens w:val="true"/>
        <w:ind w:left="-426" w:hanging="0"/>
        <w:jc w:val="both"/>
        <w:rPr>
          <w:lang w:val="uk-UA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567" w:header="709" w:top="766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ind w:right="360" w:hanging="0"/>
      <w:rPr>
        <w:sz w:val="28"/>
        <w:szCs w:val="28"/>
        <w:lang w:val="uk-UA"/>
      </w:rPr>
    </w:pPr>
    <w:r>
      <w:rPr>
        <w:sz w:val="28"/>
        <w:szCs w:val="28"/>
        <w:lang w:val="uk-U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Typewriter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cf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Heading3Char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a6d85"/>
    <w:rPr>
      <w:b/>
      <w:sz w:val="27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f90c25"/>
    <w:rPr>
      <w:rFonts w:ascii="Courier New" w:hAnsi="Courier New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f90c25"/>
    <w:rPr>
      <w:rFonts w:ascii="Calibri" w:hAnsi="Calibri"/>
      <w:lang w:val="es-ES" w:eastAsia="en-US"/>
    </w:rPr>
  </w:style>
  <w:style w:type="character" w:styleId="Style13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d5da9"/>
    <w:rPr>
      <w:sz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60823"/>
    <w:rPr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8319c"/>
    <w:rPr>
      <w:sz w:val="24"/>
    </w:rPr>
  </w:style>
  <w:style w:type="character" w:styleId="Pagenumber">
    <w:name w:val="page number"/>
    <w:basedOn w:val="DefaultParagraphFont"/>
    <w:uiPriority w:val="99"/>
    <w:qFormat/>
    <w:rsid w:val="007a7408"/>
    <w:rPr>
      <w:rFonts w:cs="Times New Roman"/>
    </w:rPr>
  </w:style>
  <w:style w:type="character" w:styleId="Appleconvertedspace" w:customStyle="1">
    <w:name w:val="apple-converted-space"/>
    <w:uiPriority w:val="99"/>
    <w:qFormat/>
    <w:rsid w:val="002e3d7a"/>
    <w:rPr/>
  </w:style>
  <w:style w:type="character" w:styleId="HTMLTypewriter">
    <w:name w:val="HTML Typewriter"/>
    <w:basedOn w:val="DefaultParagraphFont"/>
    <w:uiPriority w:val="99"/>
    <w:qFormat/>
    <w:rsid w:val="007c4e76"/>
    <w:rPr>
      <w:rFonts w:ascii="Courier New" w:hAnsi="Courier New" w:eastAsia="Times New Roman" w:cs="Times New Roman"/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db7efc"/>
    <w:rPr>
      <w:sz w:val="20"/>
      <w:szCs w:val="20"/>
      <w:lang w:val="ru-RU" w:eastAsia="ru-RU"/>
    </w:rPr>
  </w:style>
  <w:style w:type="character" w:styleId="Style14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16b8c"/>
    <w:rPr>
      <w:rFonts w:cs="Times New Roman"/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d5da9"/>
    <w:pPr>
      <w:spacing w:before="120" w:after="0"/>
      <w:jc w:val="both"/>
    </w:pPr>
    <w:rPr>
      <w:szCs w:val="20"/>
      <w:lang w:val="en-GB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463cfe"/>
    <w:pPr>
      <w:spacing w:beforeAutospacing="1" w:afterAutospacing="1"/>
    </w:pPr>
    <w:rPr/>
  </w:style>
  <w:style w:type="paragraph" w:styleId="PlainText">
    <w:name w:val="Plain Text"/>
    <w:basedOn w:val="Normal"/>
    <w:link w:val="PlainTextChar"/>
    <w:uiPriority w:val="99"/>
    <w:qFormat/>
    <w:rsid w:val="00f90c25"/>
    <w:pPr/>
    <w:rPr>
      <w:rFonts w:ascii="Courier New" w:hAnsi="Courier New"/>
      <w:sz w:val="20"/>
      <w:szCs w:val="20"/>
      <w:lang w:val="en-US"/>
    </w:rPr>
  </w:style>
  <w:style w:type="paragraph" w:styleId="Style20">
    <w:name w:val="Footnote Text"/>
    <w:basedOn w:val="Normal"/>
    <w:link w:val="FootnoteTextChar"/>
    <w:uiPriority w:val="99"/>
    <w:rsid w:val="00f90c25"/>
    <w:pPr/>
    <w:rPr>
      <w:rFonts w:ascii="Calibri" w:hAnsi="Calibri"/>
      <w:sz w:val="20"/>
      <w:szCs w:val="20"/>
      <w:lang w:val="es-ES" w:eastAsia="en-US"/>
    </w:rPr>
  </w:style>
  <w:style w:type="paragraph" w:styleId="ConsPlusNonformat" w:customStyle="1">
    <w:name w:val="ConsPlusNonformat"/>
    <w:uiPriority w:val="99"/>
    <w:qFormat/>
    <w:rsid w:val="008d5da9"/>
    <w:pPr>
      <w:widowControl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HeaderChar"/>
    <w:uiPriority w:val="99"/>
    <w:rsid w:val="007a7408"/>
    <w:pPr>
      <w:tabs>
        <w:tab w:val="clear" w:pos="408"/>
        <w:tab w:val="center" w:pos="4677" w:leader="none"/>
        <w:tab w:val="right" w:pos="9355" w:leader="none"/>
      </w:tabs>
    </w:pPr>
    <w:rPr>
      <w:szCs w:val="20"/>
    </w:rPr>
  </w:style>
  <w:style w:type="paragraph" w:styleId="Style23">
    <w:name w:val="Footer"/>
    <w:basedOn w:val="Normal"/>
    <w:link w:val="FooterChar"/>
    <w:uiPriority w:val="99"/>
    <w:rsid w:val="007a7408"/>
    <w:pPr>
      <w:tabs>
        <w:tab w:val="clear" w:pos="408"/>
        <w:tab w:val="center" w:pos="4677" w:leader="none"/>
        <w:tab w:val="right" w:pos="9355" w:leader="none"/>
      </w:tabs>
    </w:pPr>
    <w:rPr>
      <w:lang w:val="en-US"/>
    </w:rPr>
  </w:style>
  <w:style w:type="paragraph" w:styleId="Style24">
    <w:name w:val="Endnote Text"/>
    <w:basedOn w:val="Normal"/>
    <w:link w:val="EndnoteTextChar"/>
    <w:uiPriority w:val="99"/>
    <w:semiHidden/>
    <w:rsid w:val="00416b8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a200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Application>LibreOffice/6.4.1.2$Windows_X86_64 LibreOffice_project/4d224e95b98b138af42a64d84056446d09082932</Application>
  <Pages>2</Pages>
  <Words>305</Words>
  <Characters>2005</Characters>
  <CharactersWithSpaces>2249</CharactersWithSpaces>
  <Paragraphs>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2017-08-15T12:18:00Z</dcterms:created>
  <dc:creator>O.Nignik</dc:creator>
  <dc:description/>
  <dc:language>ru-RU</dc:language>
  <cp:lastModifiedBy/>
  <cp:lastPrinted>2017-01-17T07:43:00Z</cp:lastPrinted>
  <dcterms:modified xsi:type="dcterms:W3CDTF">2020-06-15T17:07:38Z</dcterms:modified>
  <cp:revision>17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