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i/>
          <w:sz w:val="28"/>
          <w:szCs w:val="28"/>
          <w:lang w:val="uk-UA"/>
        </w:rPr>
        <w:t xml:space="preserve">Склад учасників </w:t>
      </w:r>
      <w:r>
        <w:rPr>
          <w:b/>
          <w:i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/>
        </w:rPr>
        <w:t xml:space="preserve"> ТОВАРИСТВО З ОБМЕЖЕНОЮ ВІДПОВІДАЛЬНІСТЮ «ФК ЄВРОФАКТОР»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2221"/>
        <w:gridCol w:w="2064"/>
        <w:gridCol w:w="1134"/>
        <w:gridCol w:w="1561"/>
        <w:gridCol w:w="1559"/>
        <w:gridCol w:w="1442"/>
        <w:gridCol w:w="2017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ОБМЕЖЕНОЮ ВІДПОВІДАЛЬНІСТЮ «ФК ЄВРОФАКТОР»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38971446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03061, м.Київ, вул.Шепелєва Миколи, 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Факторинг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«Міжнародний фінансовий аудит»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ОБМЕЖЕНОЮ ВІДПОВІДАЛЬНІСТЮ «ФК ЄВРОКРЕДИТ»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40932411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01032, м.Київ,    вул.Саксаганського,120 офіс 17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Факторинг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коштів у позику на умовах фінансового кредиту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«Міжнародний фінансовий аудит»</w:t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Application>LibreOffice/6.1.0.3$Windows_X86_64 LibreOffice_project/efb621ed25068d70781dc026f7e9c5187a4decd1</Application>
  <Pages>1</Pages>
  <Words>151</Words>
  <Characters>985</Characters>
  <CharactersWithSpaces>1099</CharactersWithSpaces>
  <Paragraphs>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2018-11-01T12:37:30Z</dcterms:modified>
  <cp:revision>21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