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Склад учасників </w:t>
      </w:r>
      <w:r>
        <w:rPr>
          <w:b/>
          <w:i w:val="false"/>
          <w:iCs w:val="false"/>
          <w:sz w:val="28"/>
          <w:szCs w:val="28"/>
          <w:lang w:val="uk-UA"/>
        </w:rPr>
        <w:t>небанківської фінансової групи “Прайм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uk-UA"/>
        </w:rPr>
        <w:t>”*</w:t>
      </w:r>
    </w:p>
    <w:p>
      <w:pPr>
        <w:pStyle w:val="Normal"/>
        <w:tabs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1983"/>
        <w:gridCol w:w="1245"/>
        <w:gridCol w:w="2221"/>
        <w:gridCol w:w="2064"/>
        <w:gridCol w:w="1281"/>
        <w:gridCol w:w="1532"/>
        <w:gridCol w:w="1444"/>
        <w:gridCol w:w="1613"/>
        <w:gridCol w:w="1843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45" w:leader="none"/>
                <w:tab w:val="center" w:pos="4819" w:leader="none"/>
                <w:tab w:val="right" w:pos="9639" w:leader="none"/>
              </w:tabs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 річної фінансової звітності (так/ні)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Товариство з обмеженою відповідальністю “Фінансова компанія “Прайм”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37035717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0105, м.Київ, простпект ВОЗЗ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ЄДНАННЯ 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будинок 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64.99. Надання інших фінансових послуг (крім страхування та пенсійного забезпечення), н.в.і.у. (основний)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ТОВ “Аудиторська фірма “Блискор гарант”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uk-UA"/>
              </w:rPr>
              <w:t>Товариство з обмеженою відповідальністю “Фінансова компанія “Основа”</w:t>
            </w:r>
          </w:p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36972280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0105, м.Київ, простпект ВОЗЗ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ЄДНАННЯ 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будинок 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64.92. Інші види кредитування (основний),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64.99. Надання інших фінансових послуг (крім страхування та пенсійного забезпечення),н.в.і.у.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ТОВ “Аудиторська фірма “Блискор гарант”</w:t>
            </w:r>
          </w:p>
        </w:tc>
      </w:tr>
    </w:tbl>
    <w:p>
      <w:pPr>
        <w:pStyle w:val="Normal"/>
        <w:widowControl w:val="false"/>
        <w:suppressAutoHyphens w:val="true"/>
        <w:ind w:left="-426" w:hanging="0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</w:r>
    </w:p>
    <w:p>
      <w:pPr>
        <w:pStyle w:val="Normal"/>
        <w:widowControl w:val="false"/>
        <w:suppressAutoHyphens w:val="true"/>
        <w:ind w:left="-426" w:hanging="0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* інформація відповідає пакету документів надісланих листами Товариства з обмеженою відповідальністю “Фінансова компанія “Прайм” від 23.05.2019 №23/05/19 та від 11.06.2019 №11/06/2019.</w:t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rFonts w:cs="Times New Roman"/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7a7408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2">
    <w:name w:val="Footer"/>
    <w:basedOn w:val="Normal"/>
    <w:link w:val="FooterChar"/>
    <w:uiPriority w:val="99"/>
    <w:rsid w:val="007a740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Application>LibreOffice/6.1.0.3$Windows_X86_64 LibreOffice_project/efb621ed25068d70781dc026f7e9c5187a4decd1</Application>
  <Pages>1</Pages>
  <Words>192</Words>
  <Characters>1301</Characters>
  <CharactersWithSpaces>1454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2019-07-12T10:50:48Z</dcterms:modified>
  <cp:revision>29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