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AD2A99" w:rsidRPr="00CC5A9D">
        <w:rPr>
          <w:rFonts w:ascii="Times New Roman" w:hAnsi="Times New Roman" w:cs="Times New Roman"/>
          <w:b/>
          <w:sz w:val="28"/>
          <w:szCs w:val="28"/>
        </w:rPr>
        <w:t>у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6427" w:rsidRDefault="003D7C63" w:rsidP="003D7C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585630" w:rsidRPr="00CC5A9D" w:rsidRDefault="00585630" w:rsidP="003D7C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58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 (Т071≥0, Т070≥0).</w:t>
      </w:r>
    </w:p>
    <w:p w:rsidR="00461A9F" w:rsidRPr="00CC5A9D" w:rsidRDefault="00461A9F" w:rsidP="003D7C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6427" w:rsidRDefault="003D7C63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який перевищив установлений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строк),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 (дата укладення зовнішньоекономічного контракту резидента, який перевищив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 ),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K020 (код резидента за ЄДР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461A9F" w:rsidRDefault="00461A9F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461A9F" w:rsidP="00461A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заповнення коду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та містить тільки цифри </w:t>
      </w:r>
      <w:r w:rsidR="00D21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літери 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(якщо довжина коду менше 10 знаків, його необхідно доповнити нулями зліва до 10 знаків). </w:t>
      </w:r>
    </w:p>
    <w:p w:rsidR="00461A9F" w:rsidRPr="00CC5A9D" w:rsidRDefault="00461A9F" w:rsidP="004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A9F" w:rsidRDefault="001C02F6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Default="00A223BE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3BE" w:rsidRPr="002E4320" w:rsidRDefault="001C02F6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A67C57">
        <w:rPr>
          <w:rFonts w:ascii="Times New Roman" w:hAnsi="Times New Roman" w:cs="Times New Roman"/>
          <w:sz w:val="28"/>
          <w:szCs w:val="28"/>
          <w:lang w:val="ru-RU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>, #</w:t>
      </w:r>
      <w:r w:rsidR="00F57078" w:rsidRPr="002E43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CB9" w:rsidRDefault="007A0CB9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B9" w:rsidRPr="007A0CB9" w:rsidRDefault="001C02F6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>. Перевірка правильності заповнення коду структурного підрозділу (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Довжина параметру 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20 знаків та містить цифри.</w:t>
      </w:r>
    </w:p>
    <w:p w:rsidR="00CB4100" w:rsidRDefault="00CB4100" w:rsidP="0046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53" w:rsidRPr="001C4A20" w:rsidRDefault="001C02F6" w:rsidP="000F195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0603D2" w:rsidRDefault="000603D2" w:rsidP="000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0B1" w:rsidRPr="009D20B1" w:rsidRDefault="009D20B1" w:rsidP="009D20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структурного підрозділу),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зовнішньоекономічної операції),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зовнішньоекономічної операції),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(код повідомлення про порушення граничного строку),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Pr="00CC5A9D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577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Логічний контроль (вторинний)</w:t>
      </w:r>
    </w:p>
    <w:p w:rsidR="00577FBC" w:rsidRPr="00CC5A9D" w:rsidRDefault="00577FBC" w:rsidP="00577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44B" w:rsidRDefault="001C38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F0A0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6118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F0A0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надан</w:t>
      </w:r>
      <w:r w:rsidR="00863F1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863F1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всіма метриками:</w:t>
      </w:r>
    </w:p>
    <w:p w:rsidR="00171F76" w:rsidRDefault="00171F76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544B" w:rsidRDefault="001C38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2A9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надано значення для метрики T071, то має бути надано значення для метрики T070.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Різниця між переданим і розрахованим гривневим еквівалентом </w:t>
      </w:r>
      <w:r w:rsidR="004D6D3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(по курсу НБУ на звітну дату) 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становити більше 10 копійок</w:t>
      </w:r>
      <w:r w:rsidR="00823FC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7AC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ума коштів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передана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070=[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="00CB3890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070]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E87BE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17AC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 дорівнює підрахованій сумі по курсу T070=[T070].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</w:t>
      </w:r>
      <w:r w:rsidR="0075363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6A23E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4D6D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87BE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C0FA2" w:rsidRDefault="001C2CC1" w:rsidP="00577F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.2. Якщо код валюти розрахунку не гривня (R030≠980) та еквівалентна сума в гривневому еквіваленті (T070)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>не дорівнює нулю, то обов’язково має бути надана сума у валюті (T071)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Відсутня сума коштів у іноземній валюті T071=[T071]. 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6118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T070=…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R030=…</w:t>
      </w:r>
      <w:r w:rsidR="003C0FA2" w:rsidRPr="00CC5A9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K020=… Q003_2=…</w:t>
      </w:r>
      <w:r w:rsidR="00AE3F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C0FA2" w:rsidRPr="00CC5A9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577FBC" w:rsidRPr="00CC5A9D" w:rsidRDefault="00577FBC" w:rsidP="00577F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577FBC" w:rsidRDefault="00B157B7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92216" w:rsidRPr="00CC5A9D" w:rsidRDefault="00C92216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B157B7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384D" w:rsidRDefault="00102FD5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711" w:rsidRDefault="00070711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577FBC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C2415B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з даними</w:t>
      </w:r>
      <w:r w:rsid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600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резидентів-суб’єктів зовнішньоекономічної діяльності,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перевищили встановлені законодавством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граничні</w:t>
      </w:r>
      <w:r w:rsidR="00380B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розрахунків за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операціями з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D2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товарів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7C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араметрами</w:t>
      </w:r>
      <w:r w:rsidR="00511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резидента за ЄДР</w:t>
      </w:r>
      <w:r w:rsidR="00E818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</w:t>
      </w:r>
      <w:r w:rsidR="002776C1">
        <w:rPr>
          <w:rFonts w:ascii="Times New Roman" w:eastAsia="Times New Roman" w:hAnsi="Times New Roman" w:cs="Times New Roman"/>
          <w:sz w:val="28"/>
          <w:szCs w:val="28"/>
          <w:lang w:eastAsia="uk-UA"/>
        </w:rPr>
        <w:t>/ЄДР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перевищив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країни-нерезидента, у розрахунках з яким резидент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16F3" w:rsidRPr="00B02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0716F3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1302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2259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593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резидентом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3F10C0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616D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577FBC" w:rsidRPr="00CC5A9D" w:rsidRDefault="00577F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2E7" w:rsidRDefault="00B041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57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B04174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231CF" w:rsidRDefault="003231CF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2E7" w:rsidRDefault="007D0594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7D0594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1123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67C57" w:rsidRDefault="00A67C57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3BA0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021=3, 4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41123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5740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E006C" w:rsidRDefault="002E006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2A59BC" w:rsidRPr="00CC5A9D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496E1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59BC" w:rsidRDefault="002A59BC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E76AA" w:rsidRDefault="00683F81" w:rsidP="002A5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 4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Pr="00CC5A9D" w:rsidRDefault="001E76AA" w:rsidP="00CF10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683F8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320C1" w:rsidRPr="00CC5A9D" w:rsidRDefault="005320C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5320C1" w:rsidRPr="00CC5A9D" w:rsidRDefault="005320C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1026" w:rsidRDefault="00A96CEF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320C1" w:rsidRDefault="005320C1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F28BA" w:rsidRDefault="00A96CEF" w:rsidP="0053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Pr="00CC5A9D" w:rsidRDefault="00DF28BA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1026" w:rsidRDefault="00A96CEF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неповернених коштів у гривневому еквіваленті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T070)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гривневому еквіваленті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(T070=[T070]) повинна дорівнювати 0 та 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A96CEF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A5548" w:rsidRDefault="00DA5548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2246D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021=3, 4,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56A" w:rsidRDefault="002028F7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Default="00F14BD6" w:rsidP="00F14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4232" w:rsidRDefault="002028F7" w:rsidP="00E15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контроль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157A1" w:rsidRPr="002E006C" w:rsidRDefault="00E157A1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919" w:rsidRDefault="002028F7" w:rsidP="00E157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9569F6" w:rsidRDefault="009569F6" w:rsidP="00E157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C2884" w:rsidRPr="00FC2884" w:rsidRDefault="00FC2884" w:rsidP="00FC288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 xml:space="preserve">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FC2884" w:rsidRDefault="00FC2884" w:rsidP="00E157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678A" w:rsidRPr="0071678A" w:rsidRDefault="0071678A" w:rsidP="007167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5D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52CE" w:rsidRDefault="004C52CE" w:rsidP="004C5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C52CE" w:rsidRDefault="004C52CE" w:rsidP="005D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18EF" w:rsidRDefault="007318EF" w:rsidP="0073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ознаки повідомлення про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5D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2884" w:rsidRDefault="007318EF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4938" w:rsidRDefault="00304938" w:rsidP="00304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3305" w:rsidRDefault="00AE3305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E5EB3" w:rsidRDefault="006E5EB3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3686" w:rsidRDefault="006E5EB3" w:rsidP="00A9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3686" w:rsidRDefault="00A93686" w:rsidP="00A9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B3" w:rsidRPr="0075154E" w:rsidRDefault="006E5EB3" w:rsidP="00E15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8D" w:rsidRDefault="0002308D" w:rsidP="00F6718B">
      <w:pPr>
        <w:spacing w:after="0" w:line="240" w:lineRule="auto"/>
      </w:pPr>
      <w:r>
        <w:separator/>
      </w:r>
    </w:p>
  </w:endnote>
  <w:endnote w:type="continuationSeparator" w:id="0">
    <w:p w:rsidR="0002308D" w:rsidRDefault="0002308D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21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8D" w:rsidRDefault="0002308D" w:rsidP="00F6718B">
      <w:pPr>
        <w:spacing w:after="0" w:line="240" w:lineRule="auto"/>
      </w:pPr>
      <w:r>
        <w:separator/>
      </w:r>
    </w:p>
  </w:footnote>
  <w:footnote w:type="continuationSeparator" w:id="0">
    <w:p w:rsidR="0002308D" w:rsidRDefault="0002308D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1700A"/>
    <w:rsid w:val="0002308D"/>
    <w:rsid w:val="00027C34"/>
    <w:rsid w:val="00030CE0"/>
    <w:rsid w:val="000319C2"/>
    <w:rsid w:val="000324E2"/>
    <w:rsid w:val="00035397"/>
    <w:rsid w:val="000372FA"/>
    <w:rsid w:val="0004382A"/>
    <w:rsid w:val="00043AA4"/>
    <w:rsid w:val="00046310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5709"/>
    <w:rsid w:val="000879FD"/>
    <w:rsid w:val="0009188A"/>
    <w:rsid w:val="0009743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669C"/>
    <w:rsid w:val="001329AB"/>
    <w:rsid w:val="00132A92"/>
    <w:rsid w:val="00133567"/>
    <w:rsid w:val="001338B3"/>
    <w:rsid w:val="00140B24"/>
    <w:rsid w:val="0014496A"/>
    <w:rsid w:val="00150359"/>
    <w:rsid w:val="001575DA"/>
    <w:rsid w:val="00162DEE"/>
    <w:rsid w:val="00171F76"/>
    <w:rsid w:val="00186931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7019"/>
    <w:rsid w:val="001C02F6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42E7"/>
    <w:rsid w:val="002A59BC"/>
    <w:rsid w:val="002B10E3"/>
    <w:rsid w:val="002B3D6B"/>
    <w:rsid w:val="002B7171"/>
    <w:rsid w:val="002C500D"/>
    <w:rsid w:val="002C5356"/>
    <w:rsid w:val="002C6535"/>
    <w:rsid w:val="002D1434"/>
    <w:rsid w:val="002D42C5"/>
    <w:rsid w:val="002E006C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31CF"/>
    <w:rsid w:val="003334A9"/>
    <w:rsid w:val="00334A29"/>
    <w:rsid w:val="00335D3D"/>
    <w:rsid w:val="00340351"/>
    <w:rsid w:val="00345B67"/>
    <w:rsid w:val="00346427"/>
    <w:rsid w:val="00355BB6"/>
    <w:rsid w:val="00360FF1"/>
    <w:rsid w:val="00362C22"/>
    <w:rsid w:val="00372AE2"/>
    <w:rsid w:val="00380BFA"/>
    <w:rsid w:val="0038711F"/>
    <w:rsid w:val="0039727F"/>
    <w:rsid w:val="003A17A0"/>
    <w:rsid w:val="003A7A66"/>
    <w:rsid w:val="003B0495"/>
    <w:rsid w:val="003B171B"/>
    <w:rsid w:val="003B544B"/>
    <w:rsid w:val="003C0FA2"/>
    <w:rsid w:val="003C24AC"/>
    <w:rsid w:val="003D205A"/>
    <w:rsid w:val="003D21C5"/>
    <w:rsid w:val="003D29FA"/>
    <w:rsid w:val="003D7C63"/>
    <w:rsid w:val="003E01AD"/>
    <w:rsid w:val="003E0757"/>
    <w:rsid w:val="003E73CF"/>
    <w:rsid w:val="003E770E"/>
    <w:rsid w:val="003F0BB2"/>
    <w:rsid w:val="003F10C0"/>
    <w:rsid w:val="00415083"/>
    <w:rsid w:val="00417AC1"/>
    <w:rsid w:val="00430C23"/>
    <w:rsid w:val="00441123"/>
    <w:rsid w:val="004437B5"/>
    <w:rsid w:val="00444854"/>
    <w:rsid w:val="00453635"/>
    <w:rsid w:val="00460989"/>
    <w:rsid w:val="00461A9F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297A"/>
    <w:rsid w:val="004C4BDC"/>
    <w:rsid w:val="004C52CE"/>
    <w:rsid w:val="004D6D37"/>
    <w:rsid w:val="004D7A34"/>
    <w:rsid w:val="004E021D"/>
    <w:rsid w:val="004E0E7F"/>
    <w:rsid w:val="004E1CE9"/>
    <w:rsid w:val="004E2D76"/>
    <w:rsid w:val="004E5427"/>
    <w:rsid w:val="004E656A"/>
    <w:rsid w:val="004F5596"/>
    <w:rsid w:val="004F7C05"/>
    <w:rsid w:val="0050168A"/>
    <w:rsid w:val="00502B66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49F5"/>
    <w:rsid w:val="005F7207"/>
    <w:rsid w:val="00606EA2"/>
    <w:rsid w:val="0061183F"/>
    <w:rsid w:val="006215F9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1356"/>
    <w:rsid w:val="00682C5D"/>
    <w:rsid w:val="00683437"/>
    <w:rsid w:val="00683F81"/>
    <w:rsid w:val="00695986"/>
    <w:rsid w:val="00695DE1"/>
    <w:rsid w:val="006A23E0"/>
    <w:rsid w:val="006A5774"/>
    <w:rsid w:val="006A7CDD"/>
    <w:rsid w:val="006B3887"/>
    <w:rsid w:val="006B52AE"/>
    <w:rsid w:val="006B74B5"/>
    <w:rsid w:val="006C7500"/>
    <w:rsid w:val="006D43C3"/>
    <w:rsid w:val="006D457C"/>
    <w:rsid w:val="006E2748"/>
    <w:rsid w:val="006E5EB3"/>
    <w:rsid w:val="006F0DAA"/>
    <w:rsid w:val="006F1DB0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C55FD"/>
    <w:rsid w:val="007D0594"/>
    <w:rsid w:val="007D2E14"/>
    <w:rsid w:val="007D5C94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3FCE"/>
    <w:rsid w:val="00827E40"/>
    <w:rsid w:val="00835D52"/>
    <w:rsid w:val="00837E9D"/>
    <w:rsid w:val="008446BC"/>
    <w:rsid w:val="0084520B"/>
    <w:rsid w:val="008571C0"/>
    <w:rsid w:val="00863F1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69F6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3421"/>
    <w:rsid w:val="00A2205A"/>
    <w:rsid w:val="00A223BE"/>
    <w:rsid w:val="00A23952"/>
    <w:rsid w:val="00A26130"/>
    <w:rsid w:val="00A32380"/>
    <w:rsid w:val="00A41BD3"/>
    <w:rsid w:val="00A43C99"/>
    <w:rsid w:val="00A67C57"/>
    <w:rsid w:val="00A7083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D30"/>
    <w:rsid w:val="00AE3305"/>
    <w:rsid w:val="00AE3FAC"/>
    <w:rsid w:val="00AE6A98"/>
    <w:rsid w:val="00AE7830"/>
    <w:rsid w:val="00AF6A6D"/>
    <w:rsid w:val="00B0207C"/>
    <w:rsid w:val="00B04174"/>
    <w:rsid w:val="00B04186"/>
    <w:rsid w:val="00B157B7"/>
    <w:rsid w:val="00B365FE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C0B96"/>
    <w:rsid w:val="00BC0E6D"/>
    <w:rsid w:val="00BC43AD"/>
    <w:rsid w:val="00BD5D1C"/>
    <w:rsid w:val="00BD75AA"/>
    <w:rsid w:val="00BE0BFC"/>
    <w:rsid w:val="00BE12BE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843E1"/>
    <w:rsid w:val="00C848F3"/>
    <w:rsid w:val="00C86544"/>
    <w:rsid w:val="00C91B94"/>
    <w:rsid w:val="00C92216"/>
    <w:rsid w:val="00C9447E"/>
    <w:rsid w:val="00C95DB8"/>
    <w:rsid w:val="00C96FCE"/>
    <w:rsid w:val="00C97DCA"/>
    <w:rsid w:val="00CA1457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64E0"/>
    <w:rsid w:val="00D16A48"/>
    <w:rsid w:val="00D2145F"/>
    <w:rsid w:val="00D219A9"/>
    <w:rsid w:val="00D22A75"/>
    <w:rsid w:val="00D241C9"/>
    <w:rsid w:val="00D25CFE"/>
    <w:rsid w:val="00D324E3"/>
    <w:rsid w:val="00D33200"/>
    <w:rsid w:val="00D34381"/>
    <w:rsid w:val="00D34628"/>
    <w:rsid w:val="00D35C75"/>
    <w:rsid w:val="00D4700E"/>
    <w:rsid w:val="00D52FB9"/>
    <w:rsid w:val="00D53A52"/>
    <w:rsid w:val="00D61BA3"/>
    <w:rsid w:val="00D635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3C1D"/>
    <w:rsid w:val="00DD7BFF"/>
    <w:rsid w:val="00DE1ABA"/>
    <w:rsid w:val="00DE4C3E"/>
    <w:rsid w:val="00DE5706"/>
    <w:rsid w:val="00DE5732"/>
    <w:rsid w:val="00DF074A"/>
    <w:rsid w:val="00DF0A01"/>
    <w:rsid w:val="00DF28BA"/>
    <w:rsid w:val="00E07488"/>
    <w:rsid w:val="00E13027"/>
    <w:rsid w:val="00E13397"/>
    <w:rsid w:val="00E154B3"/>
    <w:rsid w:val="00E157A1"/>
    <w:rsid w:val="00E164CB"/>
    <w:rsid w:val="00E2246D"/>
    <w:rsid w:val="00E27DD2"/>
    <w:rsid w:val="00E30E43"/>
    <w:rsid w:val="00E32988"/>
    <w:rsid w:val="00E32FEA"/>
    <w:rsid w:val="00E45F51"/>
    <w:rsid w:val="00E50AD2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1AC2"/>
    <w:rsid w:val="00E92CFB"/>
    <w:rsid w:val="00EA400F"/>
    <w:rsid w:val="00EA6F2A"/>
    <w:rsid w:val="00EB3028"/>
    <w:rsid w:val="00EB51C0"/>
    <w:rsid w:val="00EC0B1C"/>
    <w:rsid w:val="00EC2584"/>
    <w:rsid w:val="00EC4666"/>
    <w:rsid w:val="00EC5BE3"/>
    <w:rsid w:val="00EC68C2"/>
    <w:rsid w:val="00EE09CA"/>
    <w:rsid w:val="00EE53E4"/>
    <w:rsid w:val="00EE7166"/>
    <w:rsid w:val="00F14499"/>
    <w:rsid w:val="00F14AF3"/>
    <w:rsid w:val="00F14BD6"/>
    <w:rsid w:val="00F14CC2"/>
    <w:rsid w:val="00F24C72"/>
    <w:rsid w:val="00F34F65"/>
    <w:rsid w:val="00F371E0"/>
    <w:rsid w:val="00F46E63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A4713"/>
    <w:rsid w:val="00FB15C7"/>
    <w:rsid w:val="00FB7233"/>
    <w:rsid w:val="00FB7CB5"/>
    <w:rsid w:val="00FC14DB"/>
    <w:rsid w:val="00FC2884"/>
    <w:rsid w:val="00FD127A"/>
    <w:rsid w:val="00FD6075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5392-3B43-4BB3-A966-E8C4D3B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13698</Words>
  <Characters>7809</Characters>
  <Application>Microsoft Office Word</Application>
  <DocSecurity>0</DocSecurity>
  <Lines>65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Економіст Національного банку України</cp:lastModifiedBy>
  <cp:revision>2</cp:revision>
  <cp:lastPrinted>2018-06-19T11:44:00Z</cp:lastPrinted>
  <dcterms:created xsi:type="dcterms:W3CDTF">2019-05-08T11:36:00Z</dcterms:created>
  <dcterms:modified xsi:type="dcterms:W3CDTF">2019-05-08T11:36:00Z</dcterms:modified>
</cp:coreProperties>
</file>