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E48F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336D0875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 A2L001, A2L002,</w:t>
      </w:r>
    </w:p>
    <w:p w14:paraId="78EA476B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2LХ “Дані про обсяги платіжних операцій для оцінки ризиків у сфері фінансового моніторингу”</w:t>
      </w:r>
    </w:p>
    <w:p w14:paraId="2199C24F" w14:textId="3574F081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Інформація надається небанківськими надавачами фінансових платіжних послуг, що відповідно до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Закону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України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“Про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платіжні послуги” від 30.06.2021 № 1591-IX отримали право на надання фінансових платіжних послуг, та які є СПФМ, про здійснені у звітному періоді платіжні операції, в тому числі із залученням комерційних агентів.</w:t>
      </w:r>
    </w:p>
    <w:p w14:paraId="22C0174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 показників включаються дані про платіжні операції, що ініційовані в межах України в національній валюті, у тому числі  з використанням електронних платіжних засобів (у тому числі їх реквізитів та/або </w:t>
      </w:r>
      <w:proofErr w:type="spellStart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токенізованих</w:t>
      </w:r>
      <w:proofErr w:type="spellEnd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карток) (далі – ЕПЗ) та/або платіжні операції з електронними грошима (у тому числі проведені респондентом (постачальником статистичної звітності) в якості комерційного </w:t>
      </w:r>
      <w:proofErr w:type="spellStart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агента</w:t>
      </w:r>
      <w:proofErr w:type="spellEnd"/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розповсюдження, погашення, обміну електронних грошей).</w:t>
      </w:r>
    </w:p>
    <w:p w14:paraId="3E4A030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зведеною за небанківською установою.</w:t>
      </w:r>
    </w:p>
    <w:p w14:paraId="38638753" w14:textId="250D2489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 дані про обсяг (сума):</w:t>
      </w:r>
    </w:p>
    <w:p w14:paraId="5D4B5C2F" w14:textId="56B3C161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інкасованої готівки в гривнях, яка була прийнята за допомогою платіжних пристроїв та через пункти надання фінансових послуг для виконання платіжних операцій, у тому числі розповсюдження електронних грошей (поповнення електронних гаманців);</w:t>
      </w:r>
    </w:p>
    <w:p w14:paraId="2F1C5988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прийнятої готівки в гривнях за допомогою платіжних пристроїв та через пункти надання фінансових послуг для виконання платіжних операцій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за операціями з розповсюдження електронних грошей (поповнення електронних гаманців);</w:t>
      </w:r>
    </w:p>
    <w:p w14:paraId="6DA383CE" w14:textId="0B741AF4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виданої готівки за платіжними операціями отримувачам  через пункти надання фінансових послуг та/або за допомогою платіжних пристроїв;</w:t>
      </w:r>
    </w:p>
    <w:p w14:paraId="0517A77E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платіжних операцій за допомогою веб-сайтів та за допомогою платіжних пристроїв з використанням ЕПЗ, у тому числі за операціями з розповсюдження електронних грошей (поповнення електронних гаманців);</w:t>
      </w:r>
    </w:p>
    <w:p w14:paraId="34FAC3E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операцій з погашення електронних грошей в обмін на готівкові кошти/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 що перераховуються на рахунки споживача/користувача, використання електронних грошей для здійснення оплати товарів, сплати податків та перерахувань між електронними гаманцями.</w:t>
      </w:r>
    </w:p>
    <w:p w14:paraId="4A7ABC3B" w14:textId="48A1F72B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респондентом (постачальником статистичної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звітності)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, у тому числі із залученням комерційних агентів,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виконання платіжних операцій, у тому числі з розповсюдження електронних грошей (поповнення електронних гаманців).</w:t>
      </w:r>
    </w:p>
    <w:p w14:paraId="03B06BE4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Інформація про здійснені операції з інкасації прийнятої готівки в гривнях у показнику “A2L001” надається на підставі: </w:t>
      </w:r>
    </w:p>
    <w:p w14:paraId="2227CD9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договорів про приймання платежів, укладених з отримувачами безпосередньо респондентом (постачальником статистичної звітності);</w:t>
      </w:r>
    </w:p>
    <w:p w14:paraId="6C05EEF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договорів з іншими надавачами фінансових платіжних послуг про приймання платежів на користь отримувачів, з якими укладені договори про надання платіжних послуг цими надавачами фінансових платіжних послуг;</w:t>
      </w:r>
    </w:p>
    <w:p w14:paraId="3AAC8764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приймання респондентом (постачальником статистичної звітності) готівки в гривнях для виконання платіжних операцій за довільними реквізитами;</w:t>
      </w:r>
    </w:p>
    <w:p w14:paraId="07D2DA47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даних щодо приймання респондентом (постачальником статистичної звітності) готівки в гривнях за операціями з розповсюдження електронних грошей (поповнення електронних гаманців). </w:t>
      </w:r>
    </w:p>
    <w:p w14:paraId="3F0C8C31" w14:textId="4F694E8A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“A2L002” зазначається інформація про загальні обсяги здійснених платіжних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операцій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(у тому числі із залученням комерційних агентів)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розрізі кодів призначення платежу, а саме: </w:t>
      </w:r>
    </w:p>
    <w:p w14:paraId="5F6B08B1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з виконання платіжних операцій, які були ініційовані  платниками готівкою, у тому числі за платіжними операціями з розповсюдження електронних грошей (поповнення електронних гаманців);</w:t>
      </w:r>
    </w:p>
    <w:p w14:paraId="283966C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з переказу на користь отримувачів коштів за допомогою веб-сайтів/з використанням ЕПЗ;</w:t>
      </w:r>
    </w:p>
    <w:p w14:paraId="3D2909D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з видачі сум платіжних операцій отримувачам в готівковій формі через пункти надання фінансових послуг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 за допомогою платіжних пристроїв;</w:t>
      </w:r>
    </w:p>
    <w:p w14:paraId="6A6BF26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з виконання платіжних операцій з електронними грошима (з погашення електронних грошей в обмін на готівкові кошти, в обмін на кошти, що перераховуються на рахунки споживача/користувача або на поточний/платіжний рахунок, вказаний споживачем, платіжних операцій з електронними грошима щодо здійснення оплати товарів, сплати податків та перерахувань між електронними гаманцями). </w:t>
      </w:r>
    </w:p>
    <w:p w14:paraId="4A3FE73C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1096C603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 даних щодо виконання платіжних операцій (з грошовими коштами в готівковій та/або безготівковій формі) в гривнях респондентом (постачальником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03371312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виконання платіжних операцій (з грошовими коштами в готівковій та/або безготівковій формі) в гривнях іншими надавачами фінансових платіжних послуг для виконання платіжних операцій на користь отримувачів, з якими укладені договори респондентом (постачальником статистичної звітності);</w:t>
      </w:r>
    </w:p>
    <w:p w14:paraId="72E352EE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виконання платіжних операцій  (з грошовими коштами в готівковій та/або безготівковій формі) в гривнях респондентом (постачальником статистичної звітності) для виконання платіжних операцій на користь отримувачів, з якими укладені договори іншими надавачами фінансових платіжних послуг;</w:t>
      </w:r>
    </w:p>
    <w:p w14:paraId="15F179E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 даних щодо приймання респондентом (постачальником статистичної звітності) платежів (готівкою і безготівково) в гривнях для виконання платіжних операцій за довільними реквізитами;</w:t>
      </w:r>
    </w:p>
    <w:p w14:paraId="614FA646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7B3F3AF5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C5B307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271EE49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прийнятої за допомогою платіжних пристроїв/пунктів надання фінансових послуг”</w:t>
      </w:r>
    </w:p>
    <w:p w14:paraId="1B3530F3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62A3A222" w14:textId="77777777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способу ініціювання платіжних операцій (довідник F106), набуває значення “01”.</w:t>
      </w:r>
    </w:p>
    <w:p w14:paraId="3A8FD39C" w14:textId="77777777" w:rsidR="009D4C77" w:rsidRPr="009D4C77" w:rsidRDefault="009D4C77" w:rsidP="009D4C7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AB5D8AC" w14:textId="77777777" w:rsidR="009D4C77" w:rsidRPr="009D4C77" w:rsidRDefault="009D4C77" w:rsidP="009D4C7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160),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</w:t>
      </w:r>
      <w:r w:rsidRPr="009D4C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6D45FF85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надавача фінансових платіжних послуг, яким здійснювалось приймання платежів – для показника </w:t>
      </w: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316884A2" w14:textId="0307C9AD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коду/номеру, набуває значення “#”.</w:t>
      </w:r>
    </w:p>
    <w:p w14:paraId="11B5034F" w14:textId="644B0FDF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банку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(довідник RCUKRU)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/національного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оператора, небанківського надавача платіжних послуг, в який інкасовано/здано готівку, що була прийнята респондентом (постачальником статистичної звітності)</w:t>
      </w:r>
      <w:r w:rsidR="00391D7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(у тому числі із залученням комерційних агентів),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подальшого виконання платіжних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операцій.</w:t>
      </w:r>
      <w:r w:rsidRPr="009D4C77"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згідно з правилами заповнення K020 (довідник K021 поле “Пояснення до заповнення K020”).</w:t>
      </w:r>
    </w:p>
    <w:p w14:paraId="2EACD23A" w14:textId="3CE02024" w:rsidR="00391D7B" w:rsidRPr="003905C9" w:rsidRDefault="00391D7B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Якщо готівку, інкасовано/здано до структурного підрозділу банку/національного оператора, небанківського надавача платіжних послуг, зазначається код головного офісу банку/національного оператора, небанківського надавача платіжних послуг.</w:t>
      </w:r>
    </w:p>
    <w:p w14:paraId="62878236" w14:textId="03024AA6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рахунок респонденту (постачальнику статистичної звітності),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який 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зарахован</w:t>
      </w:r>
      <w:r w:rsidR="00391D7B"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кошти, прийняті готівкою (у тому числі із залученням комерційних агентів)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для подальшого виконання платіжних операцій (довідник RCUKRU), зазначається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згідно з правилами заповнення K020 (довідник K021 поле “Пояснення до заповнення K020”).</w:t>
      </w:r>
    </w:p>
    <w:p w14:paraId="3094D937" w14:textId="511702C5" w:rsidR="009D4C77" w:rsidRPr="009D4C77" w:rsidRDefault="009D4C77" w:rsidP="003905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для якого здійснювалось приймання 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платежів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для показника </w:t>
      </w:r>
      <w:r w:rsidR="00391D7B"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A2L001 не заповнюється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595DCFBF" w14:textId="24A45B35" w:rsidR="009D4C77" w:rsidRPr="003905C9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905C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391D7B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</w:t>
      </w:r>
      <w:r w:rsidR="003905C9" w:rsidRPr="003905C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7EF7B823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00600A2F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готівки в гривнях, яка була прийнята для виконання платіжних операцій.</w:t>
      </w:r>
    </w:p>
    <w:p w14:paraId="2D6794D9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9C604C5" w14:textId="77777777" w:rsidR="009D4C77" w:rsidRPr="009D4C77" w:rsidRDefault="009D4C77" w:rsidP="009D4C7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CB205C2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платіжних операцій”</w:t>
      </w:r>
    </w:p>
    <w:p w14:paraId="041266C7" w14:textId="77777777" w:rsidR="009D4C77" w:rsidRPr="009D4C77" w:rsidRDefault="009D4C77" w:rsidP="009D4C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50FD9BC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способу ініціювання платіжних операцій (довідник F106) може набувати значення “01”, “02”, “03” в залежності від форми ініціювання переказу платником (у готівковій формі - “01”, у безготівковій формі - “02”, за допомогою електронних грошей - “03”).</w:t>
      </w:r>
    </w:p>
    <w:p w14:paraId="2C4E506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Платіжні операції, що були ініційовані споживачами за допомогою електронних грошей, які були прийняті респондентом (постачальником статистичної звітності) в обмін на кошти, що перераховуються на поточні/платіжні рахунки, вказані споживачами (крім рахунків цих споживачів), мають відображатися як </w:t>
      </w:r>
      <w:r w:rsidRPr="009D4C77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536F45DA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 передача споживачами електронних грошей респонденту (постачальнику статистичної звітності) для обміну відображаються з кодом 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- “03” (довідник F106) і кодом призначення платежу (параметр F108) - “30”;</w:t>
      </w:r>
    </w:p>
    <w:p w14:paraId="5E283A03" w14:textId="6028581F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 перерахування респондентом (постачальником статистичної звітності) коштів, отриманих в обмін на електронні гроші споживачів, на поточний/платіжний рахунок, вказаний споживачем - з кодом способу ініціювання платіжних операцій  (довідник F106) - “02” у розрізі кодів призначення платежу (параметр F108).</w:t>
      </w:r>
    </w:p>
    <w:p w14:paraId="421C9818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E039979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значення параметра F108 (код призначення платежу) в розрізі EKP (</w:t>
      </w:r>
      <w:r w:rsidRPr="009D4C77">
        <w:rPr>
          <w:rFonts w:ascii="Times New Roman" w:hAnsi="Times New Roman" w:cs="Times New Roman"/>
          <w:sz w:val="28"/>
          <w:szCs w:val="28"/>
        </w:rPr>
        <w:t>код показника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F106 (</w:t>
      </w:r>
      <w:r w:rsidRPr="009D4C77">
        <w:rPr>
          <w:rFonts w:ascii="Times New Roman" w:hAnsi="Times New Roman" w:cs="Times New Roman"/>
          <w:sz w:val="28"/>
          <w:szCs w:val="28"/>
        </w:rPr>
        <w:t>код 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K020_1 (код надавача фінансових платіжних послуг, яким здійснювалось приймання платежів), K021_1 (</w:t>
      </w:r>
      <w:r w:rsidRPr="009D4C77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послуг, яким здійснювалось приймання платежів), K020_2 (</w:t>
      </w:r>
      <w:r w:rsidRPr="009D4C77">
        <w:rPr>
          <w:rFonts w:ascii="Times New Roman" w:hAnsi="Times New Roman" w:cs="Times New Roman"/>
          <w:sz w:val="28"/>
          <w:szCs w:val="28"/>
        </w:rPr>
        <w:t>код банку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національного оператора, небанківського надавача платіжних послуг</w:t>
      </w:r>
      <w:r w:rsidRPr="009D4C77">
        <w:rPr>
          <w:rFonts w:ascii="Times New Roman" w:hAnsi="Times New Roman" w:cs="Times New Roman"/>
          <w:sz w:val="28"/>
          <w:szCs w:val="28"/>
        </w:rPr>
        <w:t>, в який інкасовано/здано готівку, що була прийнята респондентом (постачальником статистичної звітності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K020_3 (</w:t>
      </w:r>
      <w:r w:rsidRPr="009D4C77">
        <w:rPr>
          <w:rFonts w:ascii="Times New Roman" w:hAnsi="Times New Roman" w:cs="Times New Roman"/>
          <w:sz w:val="28"/>
          <w:szCs w:val="28"/>
        </w:rPr>
        <w:t>код банку в якому відкрито рахунок респонденту (постачальнику статистичної звітності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) K020_4 (код надавача фінансових платіжних послуг, для якого здійснювалось приймання платежів), K021_4 (</w:t>
      </w:r>
      <w:r w:rsidRPr="009D4C77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фінансових платіжних послуг, для якого здійснювалось приймання платежів) не повинно дублюватися, крім записів, в яких параметр F108 дорівнює “12”, “17”, “27”,  “99”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. При цьому, за операціями з кодами призначення платежу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D4C77">
        <w:rPr>
          <w:rFonts w:ascii="Times New Roman" w:hAnsi="Times New Roman" w:cs="Times New Roman"/>
          <w:sz w:val="28"/>
          <w:szCs w:val="28"/>
        </w:rPr>
        <w:t>12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D4C77">
        <w:rPr>
          <w:rFonts w:ascii="Times New Roman" w:hAnsi="Times New Roman" w:cs="Times New Roman"/>
          <w:sz w:val="28"/>
          <w:szCs w:val="28"/>
        </w:rPr>
        <w:t>17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D4C77">
        <w:rPr>
          <w:rFonts w:ascii="Times New Roman" w:hAnsi="Times New Roman" w:cs="Times New Roman"/>
          <w:sz w:val="28"/>
          <w:szCs w:val="28"/>
        </w:rPr>
        <w:t xml:space="preserve">,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“27”, “</w:t>
      </w:r>
      <w:r w:rsidRPr="009D4C77">
        <w:rPr>
          <w:rFonts w:ascii="Times New Roman" w:hAnsi="Times New Roman" w:cs="Times New Roman"/>
          <w:sz w:val="28"/>
          <w:szCs w:val="28"/>
        </w:rPr>
        <w:t>99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зазначаються загальні обсяги операцій у розрізі назв лотерей, видів онлайн сервісів (з максимально можливою консолідацією)</w:t>
      </w:r>
      <w:r w:rsidRPr="009D4C77">
        <w:rPr>
          <w:rFonts w:ascii="Times New Roman" w:hAnsi="Times New Roman" w:cs="Times New Roman"/>
          <w:sz w:val="28"/>
          <w:szCs w:val="28"/>
        </w:rPr>
        <w:t>,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переказів (з максимально можливою консолідацією).</w:t>
      </w:r>
    </w:p>
    <w:p w14:paraId="4B239F1B" w14:textId="77777777" w:rsidR="009D4C77" w:rsidRPr="006743CC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розповсюдження електронних грошей (поповнення електронних гаманців) за гривню відображається зі значенням “19”, при цьому код способу ініціювання платіжних операцій (параметр F106) набуває значення “01” 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“02”.</w:t>
      </w:r>
    </w:p>
    <w:p w14:paraId="6164DA29" w14:textId="557B8029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код призначення платежу (параметр F108) набуває значень “20” або “21” або “30”, або “52”</w:t>
      </w:r>
      <w:r w:rsidR="00CE1C0B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“53”</w:t>
      </w:r>
      <w:r w:rsidR="00CE1C0B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“54” або, “55”</w:t>
      </w:r>
      <w:r w:rsidR="007C171E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E1C0B" w:rsidRPr="006743CC">
        <w:t xml:space="preserve"> </w:t>
      </w:r>
      <w:r w:rsidR="004927D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“58”, або “59”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код способу ініціювання платіжних операцій (параметр F106) не повинен дорівнювати значенням “01” або “02”.</w:t>
      </w:r>
    </w:p>
    <w:p w14:paraId="7512464F" w14:textId="2EAAF759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здавання </w:t>
      </w:r>
      <w:r w:rsidR="007C171E" w:rsidRPr="007C1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7C171E"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респондента (постачальника статистичної звітності) </w:t>
      </w:r>
      <w:r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уб’єктом господарювання готівкової виручки (готівки) для виконання платіжних операцій з метою зарахування на рахунок </w:t>
      </w:r>
      <w:r w:rsidR="00253F88"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суб’єкта господарювання,</w:t>
      </w:r>
      <w:r w:rsidRPr="002A0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зазначені операції відображається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суті здійсненої діяльності цим суб’єктом господарювання, тобто як оплата товарів або за здійснені роботи, надані послуги з відповідним кодом призначення платежу (довідник F108).</w:t>
      </w:r>
    </w:p>
    <w:p w14:paraId="592048B9" w14:textId="746750B1" w:rsidR="009D4C77" w:rsidRPr="003276BB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випадках здавання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респондента (постачальника статистичної звітності)</w:t>
      </w:r>
      <w:r w:rsidR="00253F88" w:rsidRPr="003276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іншими надавачами платіжних послуг та їх комерційними агентами з приймання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виручки (готівки),</w:t>
      </w:r>
      <w:r w:rsidR="00253F88" w:rsidRPr="003276BB">
        <w:t xml:space="preserve">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отриманої через платіжні пристрої та пункти надання фінансових послуг 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подальшого виконання платіжних операцій, з метою </w:t>
      </w:r>
      <w:r w:rsidR="003276BB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на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3F88"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рахунок/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 w:rsidR="004E622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відкритий/відкриті для обліку коштів, прийнятих</w:t>
      </w:r>
      <w:r w:rsidRPr="0032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виконання платіжних операцій, інформація про зазначені операції відображається з кодом призначення платежу “57” (довідник F108).</w:t>
      </w:r>
    </w:p>
    <w:p w14:paraId="211CD399" w14:textId="77777777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 здійснення операцій з видачі сум платіжних операцій отримувачам в готівковій формі через пункти надання фінансових послуг та за допомогою платіжних пристроїв, інформація про зазначені операції відображається з кодом призначення платежу “28” (довідник F108).</w:t>
      </w:r>
    </w:p>
    <w:p w14:paraId="69EE5C70" w14:textId="581ED2EA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операції з оплати участі (ставок) учасниками для участі у розіграші державної лотереї [у  т. ч. поповнення учасниками рахунків/особистих рахунків  на </w:t>
      </w:r>
      <w:proofErr w:type="spellStart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мобільному додатку, тощо організатора азартних ігор для участі у державних лотереях, що проводяться з використанням мережі Інтернет] відображається з кодом призначення платежу “12” (довідник F108).</w:t>
      </w:r>
    </w:p>
    <w:p w14:paraId="785D2CF2" w14:textId="40D204D7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операції з повернення коштів, внесених учасниками для участі у розіграші державної лотереї (у т. ч. з рахунків/особистих рахунків учасників на </w:t>
      </w:r>
      <w:proofErr w:type="spellStart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мобільному додатку, тощо організатора азартних ігор для участі у державних лотереях, що проводяться з використанням мережі Інтернет], які не є виграшом, відображається із кодом призначення платежу “60” (довідник F108).</w:t>
      </w:r>
    </w:p>
    <w:p w14:paraId="29922E36" w14:textId="1ADB5BAC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із виплати виграшів учасникам розіграшів державних лотерей відображається із кодом призначення платежу “27” (довідник F108).</w:t>
      </w:r>
    </w:p>
    <w:p w14:paraId="68038F7A" w14:textId="1C16A165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з оплати ставок гравцями для участі в азартних іграх [у  т. ч. поповнення гравцями балансу клієнтських рахунків (придбання електронних грошових замінників в онлайн-системі організатора азартних ігор в обмін на грошові кошти)] відображається з кодами призначення платежу “32”, “33”, “34”, “35”, “36”, “37” (довідник F108).</w:t>
      </w:r>
    </w:p>
    <w:p w14:paraId="6BA42E8F" w14:textId="04D90A74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операції з повернення коштів, внесених гравцями для участі в азартних іграх (у т. ч. з клієнтських рахунків гравців в онлайн-системі організатора азартних ігор сум грошових коштів, отриманих в обмін на електронні грошові замінники), які не є виграшом, відображається із кодами призначення платежу “38”, “39”, “40”, “41”, “42”, “43” (довідник F108).</w:t>
      </w:r>
    </w:p>
    <w:p w14:paraId="3F8F8F9D" w14:textId="096993B0" w:rsidR="00253F88" w:rsidRPr="006A1C7D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Інформація про операції із виплати виграшів гравцям азартних ігор відображається із кодами призначення платежу “44”, “45”, “46”, “47”, “48”, “49” (довідник F108).</w:t>
      </w:r>
    </w:p>
    <w:p w14:paraId="4692BD25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“азартна гра”, “виграш”, “гравець”, “державна лотерея”, “ставка”, “спортивний покер”, “турнір з покеру”, які вживаються в цих правилах та довіднику F108, застосовуються в значеннях, визначених Законом України від 14 липня 2020 року № 768-IX “Про державне регулювання діяльності щодо організації та проведення азартних ігор” та Законом України від 6 вересня 2012 року № 5204-VI “Про державні лотереї в Україні”.</w:t>
      </w:r>
    </w:p>
    <w:p w14:paraId="066F096A" w14:textId="2E1E0952" w:rsidR="009D4C77" w:rsidRPr="009D4C77" w:rsidRDefault="009D4C77" w:rsidP="009D4C7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6743C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743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160)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код електронних грошей у випадках, якщо код призначення платежу (параметр F108) набуває значень “19” або “20”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“21”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“30”, або “52”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“53”</w:t>
      </w:r>
      <w:r w:rsidR="008D5839"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“54”, або</w:t>
      </w:r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“55”</w:t>
      </w:r>
      <w:r w:rsidR="004129E5" w:rsidRPr="004129E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129E5" w:rsidRPr="00412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“58”, або “59”</w:t>
      </w:r>
      <w:bookmarkStart w:id="0" w:name="_GoBack"/>
      <w:bookmarkEnd w:id="0"/>
      <w:r w:rsidRPr="006743CC">
        <w:rPr>
          <w:rFonts w:ascii="Times New Roman" w:eastAsia="Times New Roman" w:hAnsi="Times New Roman" w:cs="Times New Roman"/>
          <w:sz w:val="28"/>
          <w:szCs w:val="28"/>
          <w:lang w:eastAsia="uk-UA"/>
        </w:rPr>
        <w:t>. В інших випадках набуває значення “#”.</w:t>
      </w:r>
    </w:p>
    <w:p w14:paraId="6CC8DA3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надавача фінансових платіжних послуг, яким здійснювалось приймання платежів для виконання платіжної операції, зазначається згідно з правилами заповнення K020 (довідник K021 поле “Пояснення до заповнення K020”). Заповнюється у разі, якщо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способу ініціювання платіжних операцій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(параметр F106) набуває значення “01” або “02”, в інших випадках НРП K020_1 не заповнюється.</w:t>
      </w:r>
    </w:p>
    <w:p w14:paraId="70690882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087865D5" w14:textId="4C4A99C2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1. Якщо респондент (постачальник статистичної звітності) здійснює приймання платежів на користь свого клієнта, з яким встановлені договірні відносини на підставі договору про приймання на його користь регулярних платежів, та/або здійснює приймання платежів для виконання платіжних операцій за довільними реквізитами, та/або здійснює приймання платежів за операціями з розповсюдження електронних грошей (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електронних гаманців)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зазначається код респондента (постачальника статистичної звітності);</w:t>
      </w:r>
    </w:p>
    <w:p w14:paraId="01AF8D22" w14:textId="57F72931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2. Якщо респондент (постачальник статистичної звітності) уклав договір з отримувачем коштів про приймання на його користь регулярних платежів, але не здійснює самостійне приймання цих платежів, а отримує кошти від іншого надавача фінансових платіжних послуг (або від іншого посередника з проведення платіжних операцій), який здійснив приймання цих платежів за дорученням респондента (постачальника статистичної звітності), – зазначається код зазначеного надавача фінансових платіжних послуг (або іншого посередника з проведення платіжних операцій).</w:t>
      </w:r>
    </w:p>
    <w:p w14:paraId="46C5F99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K021_1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реєстраційного коду/номеру (довідник K021) та є супутнім параметром до НРП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K020_1. Якщо НРП K020_1 не заповнене, то супутній параметр K021_1 набуває значення “#”.</w:t>
      </w:r>
    </w:p>
    <w:p w14:paraId="3404DE17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банку/національного оператора, небанківського надавача платіжних послуг, в який інкасовано/здано готівку, що була прийнята респондентом (постачальником статистичної звітності) для подальшого виконання платіжних операцій – для показника “A2L002” не заповнюється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9C8E6BB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виконання платіжних операцій – для показника “A2L002” не заповнюється.</w:t>
      </w:r>
    </w:p>
    <w:p w14:paraId="72EB178D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надавача фінансових платіжних послуг, для якого здійснювалось приймання платежів для виконання платіжних операцій, зазначається згідно з правилами заповнення K020 (довідник K021 поле “Пояснення до заповнення K020”). Заповнюється у разі, якщо код 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способу ініціювання платіжних операцій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(параметр F106) набуває значення “01” або “02”, в інших випадках НРП K020_4 не заповнюється.</w:t>
      </w:r>
    </w:p>
    <w:p w14:paraId="3FF37010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91EE8C1" w14:textId="4F3635C6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1. Якщо респондент (постачальник статистичної звітності) здійснює приймання платежів на користь свого клієнта, з яким встановлені договірні відносини на підставі договору про приймання на його користь регулярних платежів та/або здійснює приймання платежів для виконання платіжних операцій за довільними реквізитами, та/або за операціями з розповсюдження електронних грошей (поповнення електронних гаманців) – зазначається код респондента (постачальника статистичної звітності);</w:t>
      </w:r>
    </w:p>
    <w:p w14:paraId="3557F434" w14:textId="25BFF8A2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2. Якщо респондент (постачальник статистичної звітності) не обслуговує отримувача та виконує платіжну операцію за дорученням іншого надавача фінансових платіжних послуг, який обслуговує цього отримувача, або за дорученням іншого посередника з проведення платіжної операції, – зазначається код цього  надавача фінансових платіжних послуг або посередника з проведення платіжної операції.</w:t>
      </w:r>
    </w:p>
    <w:p w14:paraId="77CEA0EC" w14:textId="194994CC" w:rsidR="00253F88" w:rsidRPr="008B1EA2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3. Якщо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готівкової виручки (готівки)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від інших надавачів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платіжних послуг для зарахування на їх рахунки для подальшого виконання платіжних операцій [інформація про які відображається з кодом призначення платежу “57” (довідник F108)]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– зазначається код цього надавача фінансових платіжних послуг. </w:t>
      </w:r>
    </w:p>
    <w:p w14:paraId="50B23698" w14:textId="5FF4DC7E" w:rsidR="00253F88" w:rsidRPr="008B1EA2" w:rsidRDefault="00253F88" w:rsidP="00253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4. Якщо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готівкової виручки (готівки)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від комерційних агентів із </w:t>
      </w:r>
      <w:r w:rsidRPr="008B1EA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lastRenderedPageBreak/>
        <w:t>приймання готівки інших надавачів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платіжних послуг для зарахування на їх рахунки для подальшого виконання платіжних операцій, [інформація про які відображається з кодом призначення платежу “57” (довідник F108)]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– </w:t>
      </w:r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зазначається код надавача фінансових платіжних послуг, від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якого прийнято готівку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 в примітці (НРП Q006) обов’язково зазначається повне </w:t>
      </w:r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найменування цього комерційного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згідно з Реєстром платіжної інфраструктури, що ведеться Національним банком України відповідно до Закону України 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“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платіжні послуги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”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).</w:t>
      </w:r>
    </w:p>
    <w:p w14:paraId="0A404EF4" w14:textId="1FADA72C" w:rsidR="009D4C77" w:rsidRPr="009D4C77" w:rsidRDefault="009D4C77" w:rsidP="009D4C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Pr="009D4C77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 (довідник K021) та є супутнім параметром до НРП K020_4. Якщо НРП K020_4 не заповнене, то супутній параметр K021_4 набуває значення “#”.</w:t>
      </w:r>
    </w:p>
    <w:p w14:paraId="602194DF" w14:textId="77777777" w:rsidR="009D4C77" w:rsidRP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03590BA1" w14:textId="77777777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зазначається: </w:t>
      </w:r>
    </w:p>
    <w:p w14:paraId="0A1FC016" w14:textId="6A962D58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назва державних лотерей [код призначення платежу (параметр F108) дорівнює значенню “12”, “27”] відповідно до Єдиного реєстру державних лотерей, запроваджених в Україні. За операціями з переказу коштів, які здійснюються з метою передоплати за участь у державній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лотереї 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(тобто, для поповнення учасником розіграшів державних лотерей рахунку/особистого рахунку на </w:t>
      </w:r>
      <w:proofErr w:type="spellStart"/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вебсайті</w:t>
      </w:r>
      <w:proofErr w:type="spellEnd"/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мобільному додатку, тощо відповідного оператора державних лотерей </w:t>
      </w:r>
      <w:r w:rsidR="002537E2"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у державних лотереях, що проводяться з використанням мережі Інтернет</w:t>
      </w:r>
      <w:r w:rsidR="002537E2"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замість найменування державної лотереї 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примітці необхідно зазначити відповідний коментар та вказати найменування оператора державних лотерей, наприклад: “передоплата за участь у державній </w:t>
      </w: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лотереї, оператор - ТОВ “М.С.Л.”; </w:t>
      </w:r>
    </w:p>
    <w:p w14:paraId="7F18BFFD" w14:textId="09068DBC" w:rsidR="009D4C77" w:rsidRDefault="009D4C77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види онлайн-сервісів [код призначення платежу (параметр F108) дорівнює значенню “17”];</w:t>
      </w:r>
    </w:p>
    <w:p w14:paraId="5B781F5D" w14:textId="21624F8C" w:rsidR="002537E2" w:rsidRPr="008B1EA2" w:rsidRDefault="002537E2" w:rsidP="009D4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найменування комерційного </w:t>
      </w:r>
      <w:proofErr w:type="spellStart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агента</w:t>
      </w:r>
      <w:proofErr w:type="spellEnd"/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із приймання готівки інших надавачів платіжних послуг [код призначення платежу (параметр F108) дорівнює значенню “57”, у випадку коли респондент (постачальник статистичної звітності) здійснює операції з приймання </w:t>
      </w:r>
      <w:r w:rsidRPr="008B1EA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виручки (готівки) від комерційних агентів із приймання готівки інших надавачів фінансових платіжних послуг для зарахування на їх рахунки для подальшого виконання платіжних операцій</w:t>
      </w:r>
      <w:r w:rsidRPr="008B1EA2">
        <w:rPr>
          <w:rFonts w:ascii="Times New Roman" w:eastAsia="Times New Roman" w:hAnsi="Times New Roman" w:cs="Times New Roman"/>
          <w:sz w:val="28"/>
          <w:szCs w:val="24"/>
          <w:lang w:eastAsia="uk-UA"/>
        </w:rPr>
        <w:t>];</w:t>
      </w:r>
    </w:p>
    <w:p w14:paraId="3A82BEFD" w14:textId="77777777" w:rsidR="009D4C77" w:rsidRPr="009D4C77" w:rsidRDefault="009D4C77" w:rsidP="009D4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4C77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44E5BA8A" w:rsidR="00710A0C" w:rsidRPr="009D4C77" w:rsidRDefault="009D4C77" w:rsidP="009D4C77">
      <w:r w:rsidRPr="009D4C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9D4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платіжних операцій.</w:t>
      </w:r>
    </w:p>
    <w:sectPr w:rsidR="00710A0C" w:rsidRPr="009D4C77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8E4B" w14:textId="77777777" w:rsidR="0070723A" w:rsidRDefault="0070723A">
      <w:pPr>
        <w:spacing w:after="0" w:line="240" w:lineRule="auto"/>
      </w:pPr>
      <w:r>
        <w:separator/>
      </w:r>
    </w:p>
  </w:endnote>
  <w:endnote w:type="continuationSeparator" w:id="0">
    <w:p w14:paraId="2B51D8A9" w14:textId="77777777" w:rsidR="0070723A" w:rsidRDefault="007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77B8" w14:textId="77777777" w:rsidR="0070723A" w:rsidRDefault="0070723A">
      <w:pPr>
        <w:spacing w:after="0" w:line="240" w:lineRule="auto"/>
      </w:pPr>
      <w:r>
        <w:separator/>
      </w:r>
    </w:p>
  </w:footnote>
  <w:footnote w:type="continuationSeparator" w:id="0">
    <w:p w14:paraId="38FF2950" w14:textId="77777777" w:rsidR="0070723A" w:rsidRDefault="007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4B8DD94E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4129E5">
          <w:rPr>
            <w:rFonts w:ascii="Times New Roman" w:hAnsi="Times New Roman" w:cs="Times New Roman"/>
            <w:noProof/>
            <w:sz w:val="28"/>
          </w:rPr>
          <w:t>9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057C8"/>
    <w:rsid w:val="00015C4C"/>
    <w:rsid w:val="00045114"/>
    <w:rsid w:val="0005370A"/>
    <w:rsid w:val="00096EA1"/>
    <w:rsid w:val="000A133A"/>
    <w:rsid w:val="000B5E8A"/>
    <w:rsid w:val="000D1B94"/>
    <w:rsid w:val="000D3C77"/>
    <w:rsid w:val="000E1CE6"/>
    <w:rsid w:val="001278BB"/>
    <w:rsid w:val="00157CF5"/>
    <w:rsid w:val="00196207"/>
    <w:rsid w:val="001C7CB2"/>
    <w:rsid w:val="001D2E08"/>
    <w:rsid w:val="001D3613"/>
    <w:rsid w:val="001E09CE"/>
    <w:rsid w:val="00211B93"/>
    <w:rsid w:val="00212CBC"/>
    <w:rsid w:val="0024654B"/>
    <w:rsid w:val="002537E2"/>
    <w:rsid w:val="00253F88"/>
    <w:rsid w:val="002A05AC"/>
    <w:rsid w:val="002C5B9E"/>
    <w:rsid w:val="002D03F0"/>
    <w:rsid w:val="002D0918"/>
    <w:rsid w:val="002D0B3E"/>
    <w:rsid w:val="002E1BFC"/>
    <w:rsid w:val="002F3663"/>
    <w:rsid w:val="003106BA"/>
    <w:rsid w:val="003275C7"/>
    <w:rsid w:val="003276BB"/>
    <w:rsid w:val="003343DC"/>
    <w:rsid w:val="003354DE"/>
    <w:rsid w:val="003753DF"/>
    <w:rsid w:val="00376CA0"/>
    <w:rsid w:val="00377D5B"/>
    <w:rsid w:val="003905C9"/>
    <w:rsid w:val="00391D7B"/>
    <w:rsid w:val="00392DE1"/>
    <w:rsid w:val="003C1EE7"/>
    <w:rsid w:val="003E300B"/>
    <w:rsid w:val="00403B99"/>
    <w:rsid w:val="00404351"/>
    <w:rsid w:val="004129E5"/>
    <w:rsid w:val="004200A7"/>
    <w:rsid w:val="004333B1"/>
    <w:rsid w:val="0045547A"/>
    <w:rsid w:val="0047136D"/>
    <w:rsid w:val="004927D9"/>
    <w:rsid w:val="004974E6"/>
    <w:rsid w:val="00497887"/>
    <w:rsid w:val="004A6C3F"/>
    <w:rsid w:val="004B36B1"/>
    <w:rsid w:val="004C6A31"/>
    <w:rsid w:val="004C7490"/>
    <w:rsid w:val="004E622A"/>
    <w:rsid w:val="00507500"/>
    <w:rsid w:val="005169D0"/>
    <w:rsid w:val="005171EA"/>
    <w:rsid w:val="00520F6E"/>
    <w:rsid w:val="00534205"/>
    <w:rsid w:val="00553C5D"/>
    <w:rsid w:val="00560B0A"/>
    <w:rsid w:val="00567407"/>
    <w:rsid w:val="00585C4A"/>
    <w:rsid w:val="005B79CB"/>
    <w:rsid w:val="005C0364"/>
    <w:rsid w:val="005C28FF"/>
    <w:rsid w:val="005E76AE"/>
    <w:rsid w:val="00621F84"/>
    <w:rsid w:val="00654899"/>
    <w:rsid w:val="006743CC"/>
    <w:rsid w:val="00683A70"/>
    <w:rsid w:val="006A059B"/>
    <w:rsid w:val="006A1BFF"/>
    <w:rsid w:val="006A1C7D"/>
    <w:rsid w:val="006C41A1"/>
    <w:rsid w:val="006C4D2B"/>
    <w:rsid w:val="006E617B"/>
    <w:rsid w:val="0070723A"/>
    <w:rsid w:val="00710A0C"/>
    <w:rsid w:val="0071473F"/>
    <w:rsid w:val="00714D2C"/>
    <w:rsid w:val="00721446"/>
    <w:rsid w:val="007237AC"/>
    <w:rsid w:val="00771836"/>
    <w:rsid w:val="00793045"/>
    <w:rsid w:val="00797985"/>
    <w:rsid w:val="007B23B8"/>
    <w:rsid w:val="007B4AC5"/>
    <w:rsid w:val="007C171E"/>
    <w:rsid w:val="0080183E"/>
    <w:rsid w:val="008138F8"/>
    <w:rsid w:val="00833201"/>
    <w:rsid w:val="00843A40"/>
    <w:rsid w:val="008528CD"/>
    <w:rsid w:val="0085681E"/>
    <w:rsid w:val="0088150E"/>
    <w:rsid w:val="00886E59"/>
    <w:rsid w:val="008B1EA2"/>
    <w:rsid w:val="008B4FA6"/>
    <w:rsid w:val="008B64C5"/>
    <w:rsid w:val="008C0459"/>
    <w:rsid w:val="008D25E4"/>
    <w:rsid w:val="008D5839"/>
    <w:rsid w:val="008E0B56"/>
    <w:rsid w:val="008F4773"/>
    <w:rsid w:val="00901035"/>
    <w:rsid w:val="00902C44"/>
    <w:rsid w:val="00904E9A"/>
    <w:rsid w:val="0091775C"/>
    <w:rsid w:val="00934DCE"/>
    <w:rsid w:val="009352F2"/>
    <w:rsid w:val="0094360F"/>
    <w:rsid w:val="009546E6"/>
    <w:rsid w:val="009614A7"/>
    <w:rsid w:val="009663C4"/>
    <w:rsid w:val="00975177"/>
    <w:rsid w:val="009A26D8"/>
    <w:rsid w:val="009C379E"/>
    <w:rsid w:val="009C58DF"/>
    <w:rsid w:val="009D4C77"/>
    <w:rsid w:val="009D7391"/>
    <w:rsid w:val="009F7B25"/>
    <w:rsid w:val="00A1111F"/>
    <w:rsid w:val="00A1491D"/>
    <w:rsid w:val="00A26463"/>
    <w:rsid w:val="00A35B12"/>
    <w:rsid w:val="00A416F2"/>
    <w:rsid w:val="00A97523"/>
    <w:rsid w:val="00AA0760"/>
    <w:rsid w:val="00AB1645"/>
    <w:rsid w:val="00AE5535"/>
    <w:rsid w:val="00AE7944"/>
    <w:rsid w:val="00B03792"/>
    <w:rsid w:val="00B55B4A"/>
    <w:rsid w:val="00B56958"/>
    <w:rsid w:val="00B70870"/>
    <w:rsid w:val="00B738C7"/>
    <w:rsid w:val="00B75602"/>
    <w:rsid w:val="00B8663D"/>
    <w:rsid w:val="00BA69E0"/>
    <w:rsid w:val="00BB0C27"/>
    <w:rsid w:val="00BE2F7C"/>
    <w:rsid w:val="00BE7D0B"/>
    <w:rsid w:val="00C23C6D"/>
    <w:rsid w:val="00C42101"/>
    <w:rsid w:val="00C56489"/>
    <w:rsid w:val="00C70475"/>
    <w:rsid w:val="00CA46CE"/>
    <w:rsid w:val="00CB0E8F"/>
    <w:rsid w:val="00CB493C"/>
    <w:rsid w:val="00CB5606"/>
    <w:rsid w:val="00CC4B24"/>
    <w:rsid w:val="00CE1C0B"/>
    <w:rsid w:val="00CE2877"/>
    <w:rsid w:val="00CF4B33"/>
    <w:rsid w:val="00CF4FFF"/>
    <w:rsid w:val="00D00E23"/>
    <w:rsid w:val="00D01514"/>
    <w:rsid w:val="00D016D1"/>
    <w:rsid w:val="00D15989"/>
    <w:rsid w:val="00D3088A"/>
    <w:rsid w:val="00D73301"/>
    <w:rsid w:val="00D86DD8"/>
    <w:rsid w:val="00D90811"/>
    <w:rsid w:val="00D94786"/>
    <w:rsid w:val="00DA13FC"/>
    <w:rsid w:val="00DD5444"/>
    <w:rsid w:val="00E077A1"/>
    <w:rsid w:val="00E21718"/>
    <w:rsid w:val="00E33B7D"/>
    <w:rsid w:val="00E34BA5"/>
    <w:rsid w:val="00E43D9B"/>
    <w:rsid w:val="00E534D8"/>
    <w:rsid w:val="00E56C29"/>
    <w:rsid w:val="00E73160"/>
    <w:rsid w:val="00E85656"/>
    <w:rsid w:val="00E87049"/>
    <w:rsid w:val="00EC1EED"/>
    <w:rsid w:val="00F23CC9"/>
    <w:rsid w:val="00F26E6F"/>
    <w:rsid w:val="00F5055F"/>
    <w:rsid w:val="00F64DD6"/>
    <w:rsid w:val="00F91B7E"/>
    <w:rsid w:val="00F936EB"/>
    <w:rsid w:val="00F979E9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68E8-A802-48BF-8051-D4B5857A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13235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Алєкєєва Алла Петрівна</cp:lastModifiedBy>
  <cp:revision>15</cp:revision>
  <cp:lastPrinted>2019-11-19T10:35:00Z</cp:lastPrinted>
  <dcterms:created xsi:type="dcterms:W3CDTF">2023-11-28T12:19:00Z</dcterms:created>
  <dcterms:modified xsi:type="dcterms:W3CDTF">2023-11-29T12:07:00Z</dcterms:modified>
</cp:coreProperties>
</file>