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1313EC" w:rsidRPr="00E17164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="00CA0122"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</w:t>
      </w:r>
      <w:r w:rsidR="0053756F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="00F4146D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="00537ED2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зарахування на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5B3541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</w:t>
      </w:r>
      <w:r w:rsidR="00210C3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рахунку (рахунку філії за межами України) за дорученням клієнтів банку або самим банком за власними операціями та з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43BA9" w:rsidRPr="00DC0CA3" w:rsidRDefault="00084049" w:rsidP="00C13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3BA9"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</w:t>
      </w:r>
      <w:r w:rsidR="00B43BA9" w:rsidRPr="00DC0C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43BA9" w:rsidRPr="001F202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</w:t>
      </w:r>
      <w:r w:rsidR="00B43BA9" w:rsidRPr="00DC0C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43BA9"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 користь </w:t>
      </w:r>
      <w:r w:rsidR="00B43BA9" w:rsidRPr="002A253E">
        <w:rPr>
          <w:rFonts w:ascii="Times New Roman" w:eastAsia="Calibri" w:hAnsi="Times New Roman" w:cs="Times New Roman"/>
          <w:iCs/>
          <w:sz w:val="28"/>
          <w:szCs w:val="28"/>
        </w:rPr>
        <w:t>клієнтів банку</w:t>
      </w:r>
      <w:r w:rsidR="00B43BA9"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>-резидентів</w:t>
      </w:r>
      <w:r w:rsidR="00B43BA9" w:rsidRPr="00DC0CA3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="00B43BA9"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="00E171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43BA9" w:rsidRPr="00DC0CA3">
        <w:rPr>
          <w:rFonts w:ascii="Times New Roman" w:eastAsia="Calibri" w:hAnsi="Times New Roman" w:cs="Times New Roman"/>
          <w:iCs/>
          <w:sz w:val="28"/>
          <w:szCs w:val="28"/>
        </w:rPr>
        <w:t xml:space="preserve">коштів  в іноземній валюті, банківських металах, </w:t>
      </w:r>
      <w:r w:rsidR="0014150E" w:rsidRPr="00DC0CA3">
        <w:rPr>
          <w:rFonts w:ascii="Times New Roman" w:eastAsia="Calibri" w:hAnsi="Times New Roman" w:cs="Times New Roman"/>
          <w:iCs/>
          <w:sz w:val="28"/>
          <w:szCs w:val="28"/>
        </w:rPr>
        <w:t>гривнях</w:t>
      </w:r>
      <w:r w:rsidR="00097B54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 </w:t>
      </w:r>
      <w:r w:rsidR="00817892">
        <w:rPr>
          <w:rFonts w:ascii="Times New Roman" w:eastAsia="Calibri" w:hAnsi="Times New Roman" w:cs="Times New Roman"/>
          <w:iCs/>
          <w:sz w:val="28"/>
          <w:szCs w:val="28"/>
        </w:rPr>
        <w:t xml:space="preserve">кореспондентських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рахунків  банків-нерезидентів, </w:t>
      </w:r>
      <w:r w:rsidRPr="003A11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A11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97B54">
        <w:rPr>
          <w:rFonts w:ascii="Times New Roman" w:eastAsia="Calibri" w:hAnsi="Times New Roman" w:cs="Times New Roman"/>
          <w:iCs/>
          <w:sz w:val="28"/>
          <w:szCs w:val="28"/>
        </w:rPr>
        <w:t>в межах одного банку</w:t>
      </w:r>
      <w:r w:rsidR="00B43BA9" w:rsidRPr="00DC0CA3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</w:p>
    <w:p w:rsidR="00D640AD" w:rsidRDefault="00B43BA9" w:rsidP="00C1395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>переказ</w:t>
      </w:r>
      <w:r w:rsidRPr="000C39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F202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</w:t>
      </w:r>
      <w:r w:rsidRPr="000C39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за дорученням </w:t>
      </w:r>
      <w:r w:rsidRPr="002A253E">
        <w:rPr>
          <w:rFonts w:ascii="Times New Roman" w:eastAsia="Calibri" w:hAnsi="Times New Roman" w:cs="Times New Roman"/>
          <w:iCs/>
          <w:sz w:val="28"/>
          <w:szCs w:val="28"/>
        </w:rPr>
        <w:t>клієнтів-</w:t>
      </w:r>
      <w:r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0C39E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1F202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 користь нерезидентів </w:t>
      </w:r>
      <w:r w:rsidRPr="000C39EE">
        <w:rPr>
          <w:rFonts w:ascii="Times New Roman" w:eastAsia="Calibri" w:hAnsi="Times New Roman" w:cs="Times New Roman"/>
          <w:iCs/>
          <w:sz w:val="28"/>
          <w:szCs w:val="28"/>
        </w:rPr>
        <w:t xml:space="preserve">коштів в іноземній валюті, банківських металах, </w:t>
      </w:r>
      <w:r w:rsidR="0014150E" w:rsidRPr="000C39EE">
        <w:rPr>
          <w:rFonts w:ascii="Times New Roman" w:eastAsia="Calibri" w:hAnsi="Times New Roman" w:cs="Times New Roman"/>
          <w:iCs/>
          <w:sz w:val="28"/>
          <w:szCs w:val="28"/>
        </w:rPr>
        <w:t>гривнях</w:t>
      </w:r>
      <w:r w:rsidR="00097B54" w:rsidRPr="00097B54">
        <w:rPr>
          <w:rFonts w:ascii="Times New Roman" w:eastAsia="Calibri" w:hAnsi="Times New Roman" w:cs="Times New Roman"/>
          <w:iCs/>
          <w:sz w:val="28"/>
          <w:szCs w:val="28"/>
        </w:rPr>
        <w:t>, у тому</w:t>
      </w:r>
      <w:r w:rsidR="00097B54">
        <w:rPr>
          <w:rFonts w:ascii="Times New Roman" w:eastAsia="Calibri" w:hAnsi="Times New Roman" w:cs="Times New Roman"/>
          <w:iCs/>
          <w:sz w:val="28"/>
          <w:szCs w:val="28"/>
        </w:rPr>
        <w:t xml:space="preserve"> числі</w:t>
      </w:r>
      <w:r w:rsidR="00084049">
        <w:rPr>
          <w:rFonts w:ascii="Times New Roman" w:eastAsia="Calibri" w:hAnsi="Times New Roman" w:cs="Times New Roman"/>
          <w:iCs/>
          <w:sz w:val="28"/>
          <w:szCs w:val="28"/>
        </w:rPr>
        <w:t xml:space="preserve"> на </w:t>
      </w:r>
      <w:r w:rsidR="00817892">
        <w:rPr>
          <w:rFonts w:ascii="Times New Roman" w:eastAsia="Calibri" w:hAnsi="Times New Roman" w:cs="Times New Roman"/>
          <w:iCs/>
          <w:sz w:val="28"/>
          <w:szCs w:val="28"/>
        </w:rPr>
        <w:t xml:space="preserve">кореспондентські </w:t>
      </w:r>
      <w:r w:rsidR="00084049">
        <w:rPr>
          <w:rFonts w:ascii="Times New Roman" w:eastAsia="Calibri" w:hAnsi="Times New Roman" w:cs="Times New Roman"/>
          <w:iCs/>
          <w:sz w:val="28"/>
          <w:szCs w:val="28"/>
        </w:rPr>
        <w:t xml:space="preserve">рахунки банків-нерезидентів, </w:t>
      </w:r>
      <w:r w:rsidR="00084049" w:rsidRPr="00747E9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84049" w:rsidRPr="00747E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 України</w:t>
      </w:r>
      <w:r w:rsidR="0008404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 w:rsidR="00084049" w:rsidRPr="000C39EE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97B54">
        <w:rPr>
          <w:rFonts w:ascii="Times New Roman" w:eastAsia="Calibri" w:hAnsi="Times New Roman" w:cs="Times New Roman"/>
          <w:iCs/>
          <w:sz w:val="28"/>
          <w:szCs w:val="28"/>
        </w:rPr>
        <w:t>в межах одного банк</w:t>
      </w:r>
      <w:r w:rsidR="00097B54" w:rsidRPr="000C39EE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0C39E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04CA0" w:rsidRDefault="008327DE" w:rsidP="002C66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="00404CA0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кореспондентські рахунки </w:t>
      </w:r>
      <w:r w:rsidR="00713277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банків-резидентів</w:t>
      </w:r>
      <w:r w:rsidR="00C42D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21180"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E17164" w:rsidRPr="002F4ED7" w:rsidRDefault="00E17164" w:rsidP="00C1395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9F4DD8" w:rsidRDefault="00E2118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72D1E" w:rsidRDefault="009F4DD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</w:t>
      </w:r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банку,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рахунки 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 w:rsid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E17164" w:rsidRDefault="00E17164" w:rsidP="001F20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="002A253E"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253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D72D1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72D1E" w:rsidRPr="00DC0CA3" w:rsidRDefault="00D72D1E" w:rsidP="001F20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AA5">
        <w:rPr>
          <w:rFonts w:ascii="Times New Roman" w:eastAsia="Calibri" w:hAnsi="Times New Roman" w:cs="Times New Roman"/>
          <w:iCs/>
          <w:sz w:val="28"/>
          <w:szCs w:val="28"/>
        </w:rPr>
        <w:t>Операції</w:t>
      </w:r>
      <w:r w:rsidRPr="005C28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між резидентами та</w:t>
      </w:r>
      <w:r w:rsidRPr="00B82AA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нерезидентами, здійснені в межах України, відображаються з боку резидентів.</w:t>
      </w:r>
    </w:p>
    <w:p w:rsidR="005B3541" w:rsidRPr="002F4ED7" w:rsidRDefault="00111CC3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B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="005B3541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5B3541" w:rsidRDefault="00C550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доручень,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E4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SWIFT-повідомлень, інших платіжних док</w:t>
      </w:r>
      <w:r w:rsidR="00812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повідомлень, контрактів, кредитних (депозитних) </w:t>
      </w:r>
      <w:r w:rsidR="008127B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договорів 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інших </w:t>
      </w:r>
      <w:r w:rsidR="00453C1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</w:t>
      </w:r>
      <w:r w:rsidR="003B1F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опускається відображення 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EB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дату, на яку банк має потрібну для складання показника інформацію, але не пізніше 5 банківських днів із моменту зарахування </w:t>
      </w:r>
      <w:r w:rsidR="005B3541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 w:rsidR="0002508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4488" w:rsidRDefault="00EB4488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="00914275"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4275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</w:t>
      </w:r>
      <w:r w:rsidR="005C35F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рахунку банку; 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в інший банк для підкріплення операційної каси банку готівковими коштами; 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 w:rsidR="003201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="0032018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EB7D2B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="00EB7D2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обліковується протягом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не перевищує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дні; </w:t>
      </w:r>
    </w:p>
    <w:p w:rsidR="00EB4488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</w:t>
      </w:r>
      <w:r w:rsidR="00A240E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</w:t>
      </w:r>
      <w:r w:rsidR="009F18FE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х транзитних переказів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C20995" w:rsidRPr="002F4ED7" w:rsidRDefault="00C20995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</w:t>
      </w:r>
      <w:proofErr w:type="spellStart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розміщених на п'ятницю </w:t>
      </w:r>
      <w:r w:rsidR="006C22F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EB4488" w:rsidRDefault="00570F0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9009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 w:rsidR="000437C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21EDB" w:rsidRDefault="000437C9" w:rsidP="00C139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комісійних </w:t>
      </w:r>
      <w:r w:rsidR="001C7B4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</w:t>
      </w:r>
      <w:r w:rsidR="00747032">
        <w:rPr>
          <w:rFonts w:ascii="Times New Roman" w:eastAsia="Times New Roman" w:hAnsi="Times New Roman" w:cs="Times New Roman"/>
          <w:sz w:val="28"/>
          <w:szCs w:val="28"/>
          <w:lang w:eastAsia="uk-UA"/>
        </w:rPr>
        <w:t>/витрат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процентів по залишка</w:t>
      </w:r>
      <w:r w:rsidR="00553AD8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коррахунках банків.</w:t>
      </w:r>
    </w:p>
    <w:p w:rsidR="00F21EDB" w:rsidRPr="002C66AE" w:rsidRDefault="00F21EDB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B83864" w:rsidRPr="002F4ED7" w:rsidRDefault="00B83864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B83864" w:rsidRPr="002F4ED7" w:rsidRDefault="00B83864" w:rsidP="00A9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A956D8" w:rsidRPr="00A956D8" w:rsidRDefault="00A956D8" w:rsidP="00A95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повернення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банком за вкладними (депозитними) </w:t>
      </w:r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договорами з нерезидентами </w:t>
      </w:r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(уключаючи </w:t>
      </w: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проценти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інші платежі </w:t>
      </w:r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 по </w:t>
      </w: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поточних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рахунках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95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нерезидентів</w:t>
      </w:r>
      <w:proofErr w:type="spellEnd"/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A956D8" w:rsidRPr="00A956D8" w:rsidRDefault="00A956D8" w:rsidP="00A95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(уключаючи проценти та інші платежі з обслуговування таких кредитних операцій);</w:t>
      </w:r>
    </w:p>
    <w:p w:rsidR="00A956D8" w:rsidRPr="00A956D8" w:rsidRDefault="00A956D8" w:rsidP="00A95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оплати праці на користь нерезидентів;</w:t>
      </w:r>
    </w:p>
    <w:p w:rsidR="00A956D8" w:rsidRPr="00A956D8" w:rsidRDefault="00A956D8" w:rsidP="00A956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6D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переказів фізичних осіб на користь нерезидентів, здійснених без відкриття рахунку клієнта.</w:t>
      </w:r>
    </w:p>
    <w:p w:rsidR="008E1B94" w:rsidRDefault="008E1B94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35495" w:rsidRPr="002F4ED7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F41100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F14BEE" w:rsidRPr="00ED4FA1" w:rsidRDefault="00F14BE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 w:rsid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E7F"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 w:rsidR="00006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1100" w:rsidRPr="002F4ED7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зазначається код мети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F2C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F2CB0"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 w:rsidR="00EF6D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клієнта (Q001_1) заповнюються за даними покупця.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C7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 w:rsidR="00B76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 w:rsid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="000A5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0A562A" w:rsidRPr="008B3AA8">
        <w:rPr>
          <w:rFonts w:ascii="Times New Roman" w:hAnsi="Times New Roman" w:cs="Times New Roman"/>
          <w:sz w:val="28"/>
          <w:szCs w:val="28"/>
        </w:rPr>
        <w:t>961, 962, 964</w:t>
      </w:r>
      <w:r w:rsidR="00B81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 w:rsidR="0068619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значенням </w:t>
      </w:r>
      <w:r w:rsidR="000261AF"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0261AF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261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261AF"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86481C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 w:rsidR="00782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</w:t>
      </w:r>
      <w:r w:rsidR="00AF3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</w:p>
    <w:p w:rsidR="00F41100" w:rsidRDefault="00CC556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ісцезнаходження контрагента (для юридичних осіб) або код країни перебування контрагента незалежно від його </w:t>
      </w:r>
      <w:proofErr w:type="spellStart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</w:t>
      </w:r>
      <w:proofErr w:type="spellStart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банків-нерезидентів)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Pr="004016C5" w:rsidRDefault="005E414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В010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з України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платіжного доручення/заяви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235280" w:rsidRDefault="0023528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5280" w:rsidRDefault="0023528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 зазначати дату платіжного доручення/заяви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дата основного контракту/договору.  </w:t>
      </w:r>
    </w:p>
    <w:p w:rsidR="006B5E6A" w:rsidRPr="004016C5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D30BA4" w:rsidRPr="004016C5" w:rsidRDefault="00D30BA4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F02D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</w:t>
      </w:r>
      <w:r w:rsidR="00EC4D6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="00762EBB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деякими</w:t>
      </w:r>
      <w:r w:rsidR="00353A28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F02D).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30BA4" w:rsidRPr="004016C5" w:rsidRDefault="00D30BA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операцій з переказу іноземної валюти (F091=5</w:t>
      </w:r>
      <w:r w:rsidR="00EC4D6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C4D6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C4D6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D4688" w:rsidRDefault="00D30BA4" w:rsidP="000D46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 </w:t>
      </w:r>
      <w:r w:rsidR="00C6684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7C06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22C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з переказу коштів в гривнях</w:t>
      </w:r>
      <w:r w:rsidR="0022552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A47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</w:t>
      </w:r>
      <w:r w:rsidR="00F414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40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(F091=5, </w:t>
      </w:r>
      <w:r w:rsidR="005D40D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D40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030=980</w:t>
      </w:r>
      <w:r w:rsidR="00FA47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FA477C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5D40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операцій з переказу</w:t>
      </w:r>
      <w:r w:rsidR="008E23E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</w:t>
      </w:r>
      <w:r w:rsidR="004378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78B5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378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не відповідають значенням Довідника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– набуває значення відсутності розрізу (#). 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52D8" w:rsidRDefault="006D52D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</w:t>
      </w:r>
      <w:proofErr w:type="spellStart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нетингу</w:t>
      </w:r>
      <w:proofErr w:type="spellEnd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адходження/перекази за системами міжнародних грошових переказів, у тому числі за операціями банків-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субагентів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</w:t>
      </w:r>
      <w:proofErr w:type="spellEnd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</w:t>
      </w:r>
      <w:proofErr w:type="spellStart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B3F71" w:rsidRDefault="009B3F7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Pr="004016C5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Перекази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кожного з яких в еквіваленті перевищує 150 000 гривень, відображаються окремо.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</w:t>
      </w:r>
      <w:proofErr w:type="spellStart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 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переказу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коштів, 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здійснені протягом операційного дня, сума 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яких в еквіваленті</w:t>
      </w:r>
      <w:r w:rsidR="00142A3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перевищує 150 000 гривень</w:t>
      </w:r>
      <w:r w:rsidR="000F79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коду за деякими операціями (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індикатор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3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43413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розрізу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F027=#,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K021=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Start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</w:t>
      </w:r>
      <w:proofErr w:type="spellEnd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8C59B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переказу </w:t>
      </w:r>
      <w:r w:rsidR="002527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сума якої не перевищує 150 000 гривень (включно), то допускається 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3851"/>
    <w:rsid w:val="001B7FAC"/>
    <w:rsid w:val="001C31D9"/>
    <w:rsid w:val="001C7B4D"/>
    <w:rsid w:val="001D0092"/>
    <w:rsid w:val="001D2322"/>
    <w:rsid w:val="001D2B2E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5803"/>
    <w:rsid w:val="002C66AE"/>
    <w:rsid w:val="002D32B0"/>
    <w:rsid w:val="002D5AD9"/>
    <w:rsid w:val="002E0121"/>
    <w:rsid w:val="002E477F"/>
    <w:rsid w:val="002F4ED7"/>
    <w:rsid w:val="002F52A6"/>
    <w:rsid w:val="002F7394"/>
    <w:rsid w:val="002F7670"/>
    <w:rsid w:val="0030425E"/>
    <w:rsid w:val="0031003F"/>
    <w:rsid w:val="003129D6"/>
    <w:rsid w:val="003151E9"/>
    <w:rsid w:val="003170CD"/>
    <w:rsid w:val="0032018A"/>
    <w:rsid w:val="00321F95"/>
    <w:rsid w:val="0032475C"/>
    <w:rsid w:val="00332EB2"/>
    <w:rsid w:val="003334BB"/>
    <w:rsid w:val="00340AA8"/>
    <w:rsid w:val="00344EBE"/>
    <w:rsid w:val="00351C15"/>
    <w:rsid w:val="00353A28"/>
    <w:rsid w:val="0035668E"/>
    <w:rsid w:val="0036246F"/>
    <w:rsid w:val="003666B0"/>
    <w:rsid w:val="00383A4B"/>
    <w:rsid w:val="00386B5F"/>
    <w:rsid w:val="00387033"/>
    <w:rsid w:val="00390E5C"/>
    <w:rsid w:val="00391976"/>
    <w:rsid w:val="0039539F"/>
    <w:rsid w:val="00397569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3196"/>
    <w:rsid w:val="00426A59"/>
    <w:rsid w:val="004309C8"/>
    <w:rsid w:val="0043413D"/>
    <w:rsid w:val="00435495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0D32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21F1E"/>
    <w:rsid w:val="0062508D"/>
    <w:rsid w:val="006255D7"/>
    <w:rsid w:val="00626535"/>
    <w:rsid w:val="00632D2F"/>
    <w:rsid w:val="00632DEA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67F2"/>
    <w:rsid w:val="006D70CF"/>
    <w:rsid w:val="006E3F4E"/>
    <w:rsid w:val="00701519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12AC"/>
    <w:rsid w:val="00741D34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D283E"/>
    <w:rsid w:val="007D348E"/>
    <w:rsid w:val="007D6DA6"/>
    <w:rsid w:val="007E147B"/>
    <w:rsid w:val="007E7A96"/>
    <w:rsid w:val="007F02FF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2491D"/>
    <w:rsid w:val="0092531A"/>
    <w:rsid w:val="00926A0C"/>
    <w:rsid w:val="00927204"/>
    <w:rsid w:val="00933CBC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F5A"/>
    <w:rsid w:val="009903B1"/>
    <w:rsid w:val="00993DE2"/>
    <w:rsid w:val="00994414"/>
    <w:rsid w:val="009A5B6C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50C7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D0F5E"/>
    <w:rsid w:val="00BE54A3"/>
    <w:rsid w:val="00BE735D"/>
    <w:rsid w:val="00BE7A4F"/>
    <w:rsid w:val="00BF6CF6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C47"/>
    <w:rsid w:val="00C6680D"/>
    <w:rsid w:val="00C6684B"/>
    <w:rsid w:val="00C74DE4"/>
    <w:rsid w:val="00C833E6"/>
    <w:rsid w:val="00C91873"/>
    <w:rsid w:val="00C930E2"/>
    <w:rsid w:val="00CA0122"/>
    <w:rsid w:val="00CA59B9"/>
    <w:rsid w:val="00CA62CD"/>
    <w:rsid w:val="00CB4D05"/>
    <w:rsid w:val="00CC5568"/>
    <w:rsid w:val="00CD2D4A"/>
    <w:rsid w:val="00CE4BE8"/>
    <w:rsid w:val="00CF0D0C"/>
    <w:rsid w:val="00CF1A63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60CC"/>
    <w:rsid w:val="00F2647C"/>
    <w:rsid w:val="00F41100"/>
    <w:rsid w:val="00F4146D"/>
    <w:rsid w:val="00F47F93"/>
    <w:rsid w:val="00F517A4"/>
    <w:rsid w:val="00F5232B"/>
    <w:rsid w:val="00F56D57"/>
    <w:rsid w:val="00F577D6"/>
    <w:rsid w:val="00F61BF6"/>
    <w:rsid w:val="00F6308D"/>
    <w:rsid w:val="00F71EB1"/>
    <w:rsid w:val="00F72E36"/>
    <w:rsid w:val="00F76201"/>
    <w:rsid w:val="00F77057"/>
    <w:rsid w:val="00F777B3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6953-C584-4490-94D1-602F4BE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332B-63E6-4971-8BEF-4A5E5687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16403</Words>
  <Characters>9350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2019-06-04T09:06:00Z</cp:lastPrinted>
  <dcterms:created xsi:type="dcterms:W3CDTF">2019-11-18T08:03:00Z</dcterms:created>
  <dcterms:modified xsi:type="dcterms:W3CDTF">2019-11-18T08:03:00Z</dcterms:modified>
</cp:coreProperties>
</file>