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банківських металів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в іноземній валюті та банківських металів для зарахування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2C377F" w:rsidRPr="00E17164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(надходження в Україну)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які надійшли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 юридичних осіб та фізичних осіб-підприємців;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кореспондентського рахунку (рахунку філії за межами України) за дорученням клієнтів банку або самим банком за власними операціями та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CC150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E5A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допомогою міжнародних платіжних систем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дорученням клієнтів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юридичних осіб та фізичних осіб-підприємців;</w:t>
      </w:r>
    </w:p>
    <w:p w:rsidR="002C377F" w:rsidRPr="00A8762E" w:rsidRDefault="002C377F" w:rsidP="002C377F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t>нерезидентів – 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Cs/>
          <w:sz w:val="28"/>
          <w:szCs w:val="28"/>
        </w:rPr>
        <w:t>на їх поточні рахунки, відкриті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 коштів від інших нерезидентів – юридичних осіб (з їх поточних рахунків, відкритих в банках України), у тому числі з кореспондентських рахунків 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межах одного банку;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2C377F" w:rsidRPr="00A8762E" w:rsidRDefault="002C377F" w:rsidP="002C377F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</w:t>
      </w:r>
      <w:r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2C377F" w:rsidRPr="00D60B20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A4B43">
        <w:rPr>
          <w:rFonts w:ascii="Times New Roman" w:hAnsi="Times New Roman" w:cs="Times New Roman"/>
          <w:b/>
          <w:iCs/>
          <w:sz w:val="28"/>
          <w:szCs w:val="28"/>
        </w:rPr>
        <w:lastRenderedPageBreak/>
        <w:t>нерезидентів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b/>
          <w:iCs/>
          <w:sz w:val="28"/>
          <w:szCs w:val="28"/>
        </w:rPr>
        <w:t>юридичних осіб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(з їх поточних рахунків, відкритих в банках України) на користь інших нерезидентів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–</w:t>
      </w:r>
      <w:r w:rsidRPr="009A4B43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юридичних осіб (на їх поточні рахунки, відкрит</w:t>
      </w:r>
      <w:r>
        <w:rPr>
          <w:rFonts w:ascii="Times New Roman" w:hAnsi="Times New Roman" w:cs="Times New Roman"/>
          <w:iCs/>
          <w:sz w:val="28"/>
          <w:szCs w:val="28"/>
        </w:rPr>
        <w:t>і</w:t>
      </w:r>
      <w:r w:rsidRPr="009A4B43">
        <w:rPr>
          <w:rFonts w:ascii="Times New Roman" w:hAnsi="Times New Roman" w:cs="Times New Roman"/>
          <w:iCs/>
          <w:sz w:val="28"/>
          <w:szCs w:val="28"/>
        </w:rPr>
        <w:t xml:space="preserve"> в банках України), у тому числі на кореспондентські рахунки банків-нерезидентів,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="00376B4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9A4B43">
        <w:rPr>
          <w:rFonts w:ascii="Times New Roman" w:hAnsi="Times New Roman" w:cs="Times New Roman"/>
          <w:iCs/>
          <w:sz w:val="28"/>
          <w:szCs w:val="28"/>
        </w:rPr>
        <w:t>в межах одного банку;</w:t>
      </w:r>
    </w:p>
    <w:p w:rsidR="002C377F" w:rsidRPr="00A8762E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2C377F" w:rsidRDefault="002C377F" w:rsidP="002C377F">
      <w:pPr>
        <w:pStyle w:val="a3"/>
        <w:spacing w:after="24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 банків-резидентів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відкриті в банках,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2C377F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2C377F" w:rsidRDefault="002C377F" w:rsidP="002C377F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Операції, здійснені за допомогою міжнародних платіжних систем, відображаються за датою:</w:t>
      </w:r>
    </w:p>
    <w:p w:rsidR="002C377F" w:rsidRPr="00BD2DE7" w:rsidRDefault="002C377F" w:rsidP="002C377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зарахування коштів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системи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рахунок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в Україну;</w:t>
      </w:r>
    </w:p>
    <w:p w:rsidR="002C377F" w:rsidRPr="002F4ED7" w:rsidRDefault="002C377F" w:rsidP="002C377F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списання коштів учасником платіжної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системи з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рахунк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BD2DE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006F6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 та фізичної особи-підприємця – перекази за межі України.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9F5F4A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 по рахунку банку, відкритому в Національному банку – для операцій, здійснених через кореспондентські 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здійснених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2C377F" w:rsidRPr="00A8762E" w:rsidRDefault="002C377F" w:rsidP="002C37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</w:p>
    <w:p w:rsidR="002C377F" w:rsidRPr="002F4ED7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2C377F" w:rsidRDefault="002C377F" w:rsidP="002C377F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платіжних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SWIFT-повідомлень, інших платіжних док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повідомлень, контрактів, кредитних (депозитних) договорів та інших документів. Допускається відображення 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на дату, на яку банк має потрібну для складання показника інформацію, але не пізніше 5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днів із моменту зарахування </w:t>
      </w:r>
      <w:r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2C377F" w:rsidRPr="00373AF0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кореспондентського рахунку банку, у тому числі власного рахунку банку-нерезидента;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”) обліковується протягом строку, що не перевищує три </w:t>
      </w:r>
      <w:r w:rsidR="00527AB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робоч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их дні; 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транзитних переказів (переказів інших уповноважених банків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інших транзитних переказів); 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овернайт, розміщених на п'ятницю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2C377F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2C377F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комісійних доходів/витрат, а також процентів по залишках на коррахунках банків.</w:t>
      </w:r>
    </w:p>
    <w:p w:rsidR="002C377F" w:rsidRPr="002C66AE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2C377F" w:rsidRPr="002F4ED7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2C377F" w:rsidRPr="00AE1F03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E1F03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отримання/повернення коштів банком за вкладними (депозитними) договорами з нерезидентами (крім операцій з банками), уключаючи проценти та інші платежі за договорами по поточних рахунках нерезидентів;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2C377F" w:rsidRPr="005B29EC" w:rsidRDefault="002C377F" w:rsidP="002C37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2C377F" w:rsidRPr="005B29EC" w:rsidRDefault="002C377F" w:rsidP="002C377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2C377F" w:rsidP="002C377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A05841" w:rsidRPr="00ED4FA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A05841" w:rsidRPr="002F4ED7" w:rsidRDefault="00A05841" w:rsidP="00A0584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Для операцій з надходження коштів (F091=6) зазначається код мети надходження коштів,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020), код резидентності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 та найменування клієнта (Q001_1) заповнюються за даними покупця.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офіційним обмінним курсом, установленим Національним банком на день здійснення операції, то у відомостях про операцію (Q006) зазначається зміст операці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ї, а 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A05841" w:rsidRDefault="00A05841" w:rsidP="00A0584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операціями, крім операцій, пов</w:t>
      </w:r>
      <w:r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A05841" w:rsidRPr="002F4ED7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Pr="008B3AA8">
        <w:rPr>
          <w:rFonts w:ascii="Times New Roman" w:hAnsi="Times New Roman" w:cs="Times New Roman"/>
          <w:sz w:val="28"/>
          <w:szCs w:val="28"/>
        </w:rPr>
        <w:t>961, 962, 964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резидентності – значенням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A05841" w:rsidRPr="00A05841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зазначається сума дивідендів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 цьому, якщо повернення дивідендів за відповідний рік  здійснюється на підставі 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підпунктів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1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2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>, 46</w:t>
      </w:r>
      <w:r w:rsidRPr="00C4080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uk-UA"/>
        </w:rPr>
        <w:t>3</w:t>
      </w:r>
      <w:r w:rsidRPr="00C4080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пункту</w:t>
      </w: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14 постанови Правління Національного банку України від 24.02.2024 №18 “Про роботу банківської системи в період запровадження воєнного стану” (далі - Постанова №18), то у відомостях (Q006) додатково зазначається відповідно: “план46_1” та  “ретро46_2/3”.</w:t>
      </w:r>
    </w:p>
    <w:p w:rsidR="00A05841" w:rsidRPr="00436ADF" w:rsidRDefault="00A05841" w:rsidP="00A0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кодами мети “211”, “213”, 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“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220</w:t>
      </w:r>
      <w:r w:rsidRPr="00436ADF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”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переказу коштів з України з метою виконання боргових зобов’язань (крім дострокового виконання) резидента-позичальника, що не є банком, за кредитним договором/договором позики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(включаючи поворотну фінансову допомогу)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нерезидентом у випадку, якщо 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такий/таку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кредит/позику (повністю або частково) надано за участю (шляхом гарантування, поручительства) МФО або</w:t>
      </w:r>
      <w:r w:rsidRPr="00436ADF">
        <w:rPr>
          <w:rFonts w:ascii="Times New Roman" w:hAnsi="Times New Roman" w:cs="Times New Roman"/>
          <w:sz w:val="28"/>
          <w:szCs w:val="28"/>
        </w:rPr>
        <w:t xml:space="preserve"> 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за участю (шляхом кредитування, страхування, гарантування, поручительства) іноземного експортно-кредитного агентства/іноземної держави</w:t>
      </w:r>
      <w:r w:rsidRPr="00436A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уповноважену нею особу/іноземної особи, до складу учасників (акціонерів) якої входить іноземна держава чи іноземний банк [за умови, що іноземна держава є учасником (акціонером) цього банку]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>, у відомостях про операцію (Q006) зазначається відповідний коментар: “за участю МФО”, “за участю ЕКА”, “за участю іноземної держави”, “за участ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436A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особи, учасником  (акціонером) якої є держава/іноземний банк, учасником якого є держава”.</w:t>
      </w:r>
    </w:p>
    <w:p w:rsidR="00A05841" w:rsidRDefault="00A05841" w:rsidP="00A058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05841" w:rsidRPr="00A05841" w:rsidRDefault="00A05841" w:rsidP="00A05841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05841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кодами мети “101” та “102” щодо переказу коштів за операціями з імпорту продукції, робіт та послуг, поставки за якими здійснені до 23 лютого 2021 року  (включно), відповідно до виключення, зазначеного у підпункті 2 пункту 14 Постанови № 18, у відомостях про операцію (Q006) зазначається коментар: “поставка до 23.02.21”.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ісцезнаходження контрагента (для юридичних осіб) або код країни перебування контрагента незалежно від його резидентності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резидентності клієнтів. Якщо країна відправника, з якої надійшли кошти згідно з платіжними документами, є 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A15E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</w:t>
      </w:r>
      <w:r w:rsidR="001B0BA4" w:rsidRPr="001B0BA4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K030 – код резидентності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Default="005E414D" w:rsidP="007400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резидентності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740071" w:rsidRPr="008772A6" w:rsidRDefault="00740071" w:rsidP="0074007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</w:t>
      </w:r>
      <w:r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</w:t>
      </w:r>
      <w:r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64E1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030=2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715CB" w:rsidRPr="009A4B43" w:rsidRDefault="006715CB" w:rsidP="00671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110 – в</w:t>
      </w:r>
      <w:r w:rsidRPr="009A4B4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ид економічної діяльності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[відповідно до національного класифікатора України ДК 009:2010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>Класифікація видів економічної діяльності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затвердженого наказом Державного комітету України з питань технічного регулювання та споживчої політики від 11 жовтня 2010 року № 457 (зі змінами)] (Довідник </w:t>
      </w:r>
      <w:r w:rsidRPr="009A4B43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110).</w:t>
      </w:r>
    </w:p>
    <w:p w:rsidR="006715CB" w:rsidRPr="004016C5" w:rsidRDefault="006715CB" w:rsidP="006715CB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в</w:t>
      </w:r>
      <w:r w:rsidRPr="009A4B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 економічної діяльності 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(основний) отримувача /платника коштів для резидентів юридичної особи та фізичної особи – підприємця (K030=1,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021=1,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D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E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G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J</w:t>
      </w:r>
      <w:r w:rsidRPr="00870D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870D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M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для </w:t>
      </w:r>
      <w:r w:rsidR="000E0FCF" w:rsidRPr="008772A6">
        <w:rPr>
          <w:rFonts w:ascii="Times New Roman" w:eastAsia="Times New Roman" w:hAnsi="Times New Roman" w:cs="Times New Roman"/>
          <w:sz w:val="28"/>
          <w:szCs w:val="28"/>
          <w:lang w:eastAsia="uk-UA"/>
        </w:rPr>
        <w:t>фізичної особи – підприємця – електронного резидента (е-резидента)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030=2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E0FCF" w:rsidRPr="009A64E1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="000E0FC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0E0FCF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9A4B43">
        <w:rPr>
          <w:rFonts w:ascii="Times New Roman" w:eastAsia="Times New Roman" w:hAnsi="Times New Roman" w:cs="Times New Roman"/>
          <w:sz w:val="28"/>
          <w:szCs w:val="28"/>
          <w:lang w:eastAsia="uk-UA"/>
        </w:rPr>
        <w:t>. Для інших отримувачів/платників коштів набуває значення відсутності розрізу (#).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іноземного банку-бенефіціара,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юридичної особи, а переказ здійснюється до філії банку в країну, у якій розташований головний офіс іноземного банку, але в довіднику 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банку-бенефіціара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банку-бенефіціара,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/бенефіціара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00D99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слід зазначати дату платіжно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50851">
        <w:rPr>
          <w:rFonts w:ascii="Times New Roman" w:eastAsia="Times New Roman" w:hAnsi="Times New Roman" w:cs="Times New Roman"/>
          <w:sz w:val="28"/>
          <w:szCs w:val="28"/>
          <w:lang w:eastAsia="uk-UA"/>
        </w:rPr>
        <w:t>інструкції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дата основного контрак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ту/договору.</w:t>
      </w:r>
    </w:p>
    <w:p w:rsidR="006B5E6A" w:rsidRPr="007453CB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заповнюється, </w:t>
      </w:r>
      <w:r w:rsidR="007453CB" w:rsidRPr="007453CB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 з надання кредиту, позики на користь клієнта резидента від нерезидента – юридичної або фізичної особи (не банку), що відображаються з кодом мети надходження “202”, для яких зазначається дата укладення кредитного договору/договору позики, на підставі яких здійснювався переказ.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нетингу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адходження/перекази за системами міжнародних грошових переказів, у тому числі за операціями банків-субагентів,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Ознака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 резидентності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резидентності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AC3782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резидентності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– значенням відсутності розрізу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клієнтів, що відображаються з кодом мети надходження “202”, дата контракту (Q007_1) не заповнюється.</w:t>
      </w:r>
    </w:p>
    <w:p w:rsidR="00AC3782" w:rsidRPr="003C2805" w:rsidRDefault="005B3541" w:rsidP="00AC37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6338E4" w:rsidRPr="006338E4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6338E4" w:rsidRPr="006338E4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6338E4" w:rsidRPr="006338E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7E7E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  <w:r w:rsidR="00AC3782" w:rsidRPr="00AC3782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клієнтів, що відображаються з кодом мети надходження “202”, дата контракту (Q007_1) не заповнюється.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резидентності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бенефіціара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 час відображення таких операцій  індикатор</w:t>
      </w:r>
      <w:r w:rsidR="00F2571D" w:rsidRPr="0080309F">
        <w:rPr>
          <w:rFonts w:ascii="Times New Roman" w:eastAsia="Times New Roman" w:hAnsi="Times New Roman" w:cs="Times New Roman"/>
          <w:color w:val="00B050"/>
          <w:sz w:val="28"/>
          <w:szCs w:val="28"/>
          <w:lang w:eastAsia="uk-UA"/>
        </w:rPr>
        <w:t>,</w:t>
      </w:r>
      <w:r w:rsidR="00F257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коду/номера клієнта</w:t>
      </w:r>
      <w:r w:rsid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та вид економічної діяльності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набувають значення відсутності розрізу (F027=#, K021=#, 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F2571D" w:rsidRPr="00F2571D">
        <w:rPr>
          <w:rFonts w:ascii="Times New Roman" w:hAnsi="Times New Roman" w:cs="Times New Roman"/>
          <w:bCs/>
          <w:sz w:val="28"/>
          <w:szCs w:val="28"/>
          <w:lang w:eastAsia="uk-UA"/>
        </w:rPr>
        <w:t>110=#</w:t>
      </w:r>
      <w:r w:rsidR="00F2571D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F2571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BD5365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вид економічної діяльності клієнта</w:t>
      </w:r>
      <w:r w:rsidR="00BD5365" w:rsidRPr="00BD5365">
        <w:rPr>
          <w:rFonts w:ascii="Times New Roman" w:hAnsi="Times New Roman" w:cs="Times New Roman"/>
          <w:sz w:val="28"/>
          <w:szCs w:val="28"/>
          <w:lang w:eastAsia="uk-UA"/>
        </w:rPr>
        <w:t xml:space="preserve"> (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val="en-US" w:eastAsia="uk-UA"/>
        </w:rPr>
        <w:t>K</w:t>
      </w:r>
      <w:r w:rsidR="00BD5365" w:rsidRPr="00BD5365">
        <w:rPr>
          <w:rFonts w:ascii="Times New Roman" w:hAnsi="Times New Roman" w:cs="Times New Roman"/>
          <w:bCs/>
          <w:sz w:val="28"/>
          <w:szCs w:val="28"/>
          <w:lang w:eastAsia="uk-UA"/>
        </w:rPr>
        <w:t>110),</w:t>
      </w:r>
      <w:r w:rsidR="00BD5365">
        <w:rPr>
          <w:rFonts w:ascii="Times New Roman" w:hAnsi="Times New Roman" w:cs="Times New Roman"/>
          <w:bCs/>
          <w:color w:val="00B050"/>
          <w:sz w:val="28"/>
          <w:szCs w:val="28"/>
          <w:lang w:eastAsia="uk-UA"/>
        </w:rPr>
        <w:t xml:space="preserve">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резидентності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0FCF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0BA4"/>
    <w:rsid w:val="001B3851"/>
    <w:rsid w:val="001B7FAC"/>
    <w:rsid w:val="001C31D9"/>
    <w:rsid w:val="001C7B4D"/>
    <w:rsid w:val="001D0092"/>
    <w:rsid w:val="001D2322"/>
    <w:rsid w:val="001D2B2E"/>
    <w:rsid w:val="001D37C9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377F"/>
    <w:rsid w:val="002C5803"/>
    <w:rsid w:val="002C66AE"/>
    <w:rsid w:val="002D32B0"/>
    <w:rsid w:val="002D5AD9"/>
    <w:rsid w:val="002E0121"/>
    <w:rsid w:val="002E422B"/>
    <w:rsid w:val="002E477F"/>
    <w:rsid w:val="002F4ED7"/>
    <w:rsid w:val="002F52A6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0F60"/>
    <w:rsid w:val="00351C15"/>
    <w:rsid w:val="00353A28"/>
    <w:rsid w:val="0035668E"/>
    <w:rsid w:val="0036246F"/>
    <w:rsid w:val="003626B6"/>
    <w:rsid w:val="003666B0"/>
    <w:rsid w:val="00373AF0"/>
    <w:rsid w:val="00376B4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2ED1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6ADF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27AB6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21F1E"/>
    <w:rsid w:val="0062508D"/>
    <w:rsid w:val="006255D7"/>
    <w:rsid w:val="00626535"/>
    <w:rsid w:val="00632D2F"/>
    <w:rsid w:val="00632DEA"/>
    <w:rsid w:val="006338E4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5CB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47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0071"/>
    <w:rsid w:val="007412AC"/>
    <w:rsid w:val="00741D34"/>
    <w:rsid w:val="007453CB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C4F92"/>
    <w:rsid w:val="007D283E"/>
    <w:rsid w:val="007D348E"/>
    <w:rsid w:val="007D6141"/>
    <w:rsid w:val="007D6DA6"/>
    <w:rsid w:val="007E147B"/>
    <w:rsid w:val="007E7A96"/>
    <w:rsid w:val="007E7E21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35E77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4E1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05841"/>
    <w:rsid w:val="00A15E9C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78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C68DD"/>
    <w:rsid w:val="00BD084D"/>
    <w:rsid w:val="00BD0F5E"/>
    <w:rsid w:val="00BD5365"/>
    <w:rsid w:val="00BE54A3"/>
    <w:rsid w:val="00BE735D"/>
    <w:rsid w:val="00BE7A4F"/>
    <w:rsid w:val="00BF1104"/>
    <w:rsid w:val="00BF6CF6"/>
    <w:rsid w:val="00C00D99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80E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1D6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B4D05"/>
    <w:rsid w:val="00CC5568"/>
    <w:rsid w:val="00CC64DC"/>
    <w:rsid w:val="00CD2D4A"/>
    <w:rsid w:val="00CD6039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47B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0B9B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6153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571D"/>
    <w:rsid w:val="00F260CC"/>
    <w:rsid w:val="00F2647C"/>
    <w:rsid w:val="00F41100"/>
    <w:rsid w:val="00F4146D"/>
    <w:rsid w:val="00F4354D"/>
    <w:rsid w:val="00F47F93"/>
    <w:rsid w:val="00F50851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10C12-9CB6-4A5A-89A3-D883939A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19484</Words>
  <Characters>11107</Characters>
  <Application>Microsoft Office Word</Application>
  <DocSecurity>0</DocSecurity>
  <Lines>92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Гладій Марина Євгеніївна</cp:lastModifiedBy>
  <cp:revision>2</cp:revision>
  <cp:lastPrinted>2019-06-04T09:06:00Z</cp:lastPrinted>
  <dcterms:created xsi:type="dcterms:W3CDTF">2025-04-17T07:40:00Z</dcterms:created>
  <dcterms:modified xsi:type="dcterms:W3CDTF">2025-04-17T07:40:00Z</dcterms:modified>
</cp:coreProperties>
</file>