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Pr="00DA7053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Pr="00DA7053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”, </w:t>
      </w:r>
    </w:p>
    <w:p w:rsidR="005B3541" w:rsidRPr="00DA7053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7D3B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B5B7C" w:rsidRPr="00DA7053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DA7053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DA7053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DA7053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та банківських металів на користь клієнтів банку, самого банку (власні операції банку); з рахунків філії банку, яка розташована за межами України, коштів в іноземній валюті та банківських металів на користь клієнтів банку; на кореспондентські рахунки банку коштів в іноземній валюті та банківських металів для зарахування на кореспондентські рахунки банків-нерезидентів;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зарахування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(надходження в Україну)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коштів в іноземній валюті, які надійшли за допомогою міжнародних платіжних систем на користь клієнтів банку юридичних осіб та фізичних осіб-підприємців;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 та банківських металів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кореспондентських рахунків банків-нерезидентів через кореспондентські рахунки банку;</w:t>
      </w:r>
    </w:p>
    <w:p w:rsidR="002C377F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межі України,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 за допомогою міжнародних платіжних систем за дорученням клієнтів банку юридичних осіб та фізичних осіб-підприємців;</w:t>
      </w:r>
    </w:p>
    <w:p w:rsidR="002C377F" w:rsidRPr="00DA7053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 (на їх поточні рахунки, відкриті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416016" w:rsidRPr="00DA7053" w:rsidRDefault="00057C8D" w:rsidP="006124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резидентів (у</w:t>
      </w:r>
      <w:r w:rsidR="0041601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="0041601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ислі</w:t>
      </w:r>
      <w:r w:rsidR="0041601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банку), нерезидентів коштів</w:t>
      </w:r>
      <w:r w:rsidR="0041601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пов’язаних із виплатою доходу, сум погашення та інших виплат за цінними паперами іноземних емітентів, від центрального депозитарію цінних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паперів, депозитарної установи – </w:t>
      </w:r>
      <w:r w:rsidR="0041601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України;</w:t>
      </w:r>
    </w:p>
    <w:p w:rsidR="00416016" w:rsidRPr="00DA7053" w:rsidRDefault="00416016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банку;</w:t>
      </w:r>
    </w:p>
    <w:p w:rsidR="002C377F" w:rsidRPr="00DA7053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hAnsi="Times New Roman" w:cs="Times New Roman"/>
          <w:b/>
          <w:iCs/>
          <w:sz w:val="28"/>
          <w:szCs w:val="28"/>
        </w:rPr>
        <w:t>нерезидентів</w:t>
      </w:r>
      <w:r w:rsidRPr="00DA705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DA705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DA705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iCs/>
          <w:sz w:val="28"/>
          <w:szCs w:val="28"/>
        </w:rPr>
        <w:t>–</w:t>
      </w:r>
      <w:r w:rsidRPr="00DA705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юридичних осіб (на їх поточні рахунки, відкриті в банках України), у тому числі на кореспондентські рахунки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="00376B40" w:rsidRPr="00DA70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7053">
        <w:rPr>
          <w:rFonts w:ascii="Times New Roman" w:hAnsi="Times New Roman" w:cs="Times New Roman"/>
          <w:iCs/>
          <w:sz w:val="28"/>
          <w:szCs w:val="28"/>
        </w:rPr>
        <w:t>в межах одного банку;</w:t>
      </w:r>
    </w:p>
    <w:p w:rsidR="002C377F" w:rsidRPr="00DA7053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DA70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="0061243F" w:rsidRPr="00DA7053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резидентами;</w:t>
      </w:r>
    </w:p>
    <w:p w:rsidR="0061243F" w:rsidRPr="00DA7053" w:rsidRDefault="00416016" w:rsidP="0061243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центрального депозитарію цінних паперів, депозитарної установи – резидента України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на користь резидентів, нерезидентів коштів, пов’язаних із виплатою доходу, сум погашення та інших виплат за цінними паперами іноземних емітентів.</w:t>
      </w:r>
    </w:p>
    <w:p w:rsidR="002C377F" w:rsidRPr="00DA7053" w:rsidRDefault="002C377F" w:rsidP="0061243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через кореспондентські рахунки банків-резидентів, відкриті в банках,  відображаються банком, в якому відкрито рахунок кінцевого отримувача/відправника коштів.</w:t>
      </w:r>
    </w:p>
    <w:p w:rsidR="002C377F" w:rsidRPr="00DA7053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через кореспондентські рахунки, відкриті в банках-нерезидентах, відображаються за датою операції по кореспондентському рахунку банку.</w:t>
      </w:r>
    </w:p>
    <w:p w:rsidR="002C377F" w:rsidRPr="00DA7053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DA7053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коштів учасником платіжної системи на рахунок клієнта юридичної особи та фізичної особи-підприємця – надходження в Україну;</w:t>
      </w:r>
    </w:p>
    <w:p w:rsidR="002C377F" w:rsidRPr="00DA7053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 системи з рахунку клієнта юридичної особи та фізичної особи-підприємця – перекази за межі України.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в гривнях відображаються за датою: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 банків-нерезидентів, відкриті в банках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Pr="00DA7053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банку-нерезидента</w:t>
      </w:r>
      <w:r w:rsidRPr="00DA7053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 в межах одного банку, здійснених через кореспондентські рахунки банків-нерезидентів.</w:t>
      </w:r>
    </w:p>
    <w:p w:rsidR="002C377F" w:rsidRPr="00C21D4B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</w:t>
      </w:r>
      <w:r w:rsidRPr="00C21D4B">
        <w:rPr>
          <w:rFonts w:ascii="Times New Roman" w:eastAsia="Calibri" w:hAnsi="Times New Roman" w:cs="Times New Roman"/>
          <w:iCs/>
          <w:sz w:val="28"/>
          <w:szCs w:val="28"/>
        </w:rPr>
        <w:t xml:space="preserve">відображаються з боку резидентів, </w:t>
      </w:r>
      <w:r w:rsidRPr="00C21D4B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C21D4B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C21D4B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даними:</w:t>
      </w:r>
    </w:p>
    <w:p w:rsidR="002C377F" w:rsidRPr="00DA7053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527A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SWIFT-повідомлень, інших платіжних документів та телекомунікаційних повідомлень, контрактів, кредитних (депозитних) договорів та інших документів. Допускається відображення надходжень  на дату, на яку банк має потрібну для складання показника інформацію, але не пізніше 5 </w:t>
      </w:r>
      <w:r w:rsidR="00527A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днів із моменту зарахування коштів на рахунок банку, у тому числі за операціями із повернення коштів;</w:t>
      </w: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відображаються суми: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в інший банк для підкріплення операційної каси банку готівковими коштами;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кредитами або депозитами “овернайт”) обліковується протягом строку, що не перевищує три </w:t>
      </w:r>
      <w:r w:rsidR="00527A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транзитних переказів (переказів інших уповноважених банків та перекази між двома банками-нерезидентами, у тому числі через рахунки лоро, інших транзитних переказів);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овернайт, розміщених на п'ятницю – понеділок та святкові дні, якщо вони не були пролонговані;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надходжень/переказів коштів за операціями з купівлі/продажу готівкової іноземної валюти одного найменування;</w:t>
      </w:r>
    </w:p>
    <w:p w:rsidR="002C377F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надходжень за операціями з купівлі та переказів за операціями з продажу іноземної валюти на міжбанківському валютному ринку України;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DA7053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фізичних осіб із нерезидентами за переказами, здійсненими без відкриття рахунку клієнта.</w:t>
      </w:r>
    </w:p>
    <w:p w:rsidR="002C66AE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Pr="00DA7053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DA7053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 Показника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D573D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безготівкових коштів</w:t>
      </w:r>
      <w:r w:rsidR="00C5506A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_3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DA7053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DA7053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Pr="00DA7053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DA7053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DA7053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– код операції: надходження або переказ </w:t>
      </w:r>
      <w:r w:rsidR="00AC7688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DA7053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надходження </w:t>
      </w:r>
      <w:r w:rsidR="00AC76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DA705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Pr="00DA7053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Класифікатором іноземних валют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 надходження/переказу коштів (Довідник F090).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відображаються за параметром F090 Довідника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090. </w:t>
      </w:r>
    </w:p>
    <w:p w:rsidR="00A05841" w:rsidRPr="00DA7053" w:rsidRDefault="00A05841" w:rsidP="00A058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коштів (F091=6) зазначається код мети надходження коштів, для операцій з переказу коштів (F091=5) зазначається код мети переказу коштів. 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відображення операції з обміну однієї іноземної валюти/банківського металу в іншу/інший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виконання заяви одного клієнта, ознака коду/номера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20), код резидентності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найменування клієнта (Q001_1) заповнюються за даними клієнта, за дорученням (за згодою) якого здійснювався обмін.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020), код резидентності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найменування клієнта (Q001_1) заповнюються за даними покупця.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 кодом мети “604” (за іншими операціями, крім операцій, пов’язаних із рухом капіталу) сума в іноземній валюті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операції, а за консолідованою сумою – зміст операцій, на які припадає найбільший обсяг.</w:t>
      </w:r>
    </w:p>
    <w:p w:rsidR="00A05841" w:rsidRPr="00DA7053" w:rsidRDefault="00A05841" w:rsidP="00A058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 в іноземній валюті з кодом мети “604” (за іншими операціями, крім операцій, пов’язаних із рухом капіталу), 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кодом мети “506” (операції з платіжними системами) у відомостях про операцію (Q006) зазначаються скорочені назви платіжних систем, слова “поштова конвенція”, інші скорочення.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за операціями з надходження іноземної валюти (F091=6,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030≠980, 959, </w:t>
      </w:r>
      <w:r w:rsidRPr="00DA7053">
        <w:rPr>
          <w:rFonts w:ascii="Times New Roman" w:hAnsi="Times New Roman" w:cs="Times New Roman"/>
          <w:sz w:val="28"/>
          <w:szCs w:val="28"/>
        </w:rPr>
        <w:t>961, 962, 964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що відображені з кодом “999” (обов’язковий продаж), 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за кодом області банку – юридичної особи. При цьому ознака консолідації заповнюється значенням консолідованої операції (F089=1), ознака коду/номера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клієнта/банку – значенням відсутності розрізу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021=#), код резидентності – значенням “резидент”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030=1), код країни – кодом України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 – не заповнюється.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зазначається сума дивідендів у валюті платежу у розрізі років, за які здійснюється повернення дивідендів. При цьому, якщо повернення дивідендів за відповідний рік  здійснюється на підставі підпунктів 46</w:t>
      </w:r>
      <w:r w:rsidRPr="00DA70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46</w:t>
      </w:r>
      <w:r w:rsidRPr="00DA70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46</w:t>
      </w:r>
      <w:r w:rsidRPr="00DA70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пункту 14 постанови Правління Національного банку України від 24.02.2024 №18 “Про роботу банківської системи в період запровадження воєнного стану” (далі - Постанова №18), то у відомостях (Q006) додатково зазначається відповідно: “план46_1” та  “ретро46_2/3”.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кодами мети “211”, “213”,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переказу коштів з України з метою виконання боргових зобов’язань (крім дострокового виконання) резидента-позичальника, що не є банком, за кредитним договором/договором позики 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(включаючи поворотну фінансову допомогу)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нерезидентом у випадку, якщо 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такий/таку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кредит/позику (повністю або частково) надано за участю (шляхом гарантування, поручительства) МФО або</w:t>
      </w:r>
      <w:r w:rsidRPr="00DA7053">
        <w:rPr>
          <w:rFonts w:ascii="Times New Roman" w:hAnsi="Times New Roman" w:cs="Times New Roman"/>
          <w:sz w:val="28"/>
          <w:szCs w:val="28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участю (шляхом кредитування, страхування, гарантування, поручительства) іноземного експортно-кредитного агентства/іноземної держави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уповноважену нею особу/іноземної особи, до складу учасників (акціонерів) якої входить іноземна держава чи іноземний банк [за умови, що іноземна держава є учасником (акціонером) цього банку]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відомостях про операцію (Q006) зазначається відповідний коментар: “за участю МФО”, “за участю ЕКА”, “за участю іноземної держави”, “за участю іноземної особи, учасником  (акціонером) якої є держава/іноземний банк, учасником якого є держава”.</w:t>
      </w:r>
    </w:p>
    <w:p w:rsidR="00A05841" w:rsidRPr="00DA7053" w:rsidRDefault="00A05841" w:rsidP="00A058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 не допускається.</w:t>
      </w:r>
    </w:p>
    <w:p w:rsidR="00416016" w:rsidRPr="00DA7053" w:rsidRDefault="00416016" w:rsidP="00E449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кодом мети “410” щодо надходження/переказів в межах України коштів, пов’язаних із виплатою доходу, сум погашення та інших виплат за цінними паперами іноземних емітентів, у відомостях про операцію (Q006) зазначається відповідний коментар: “погашення за ЦП”, “дохід за ЦП”, “інші виплати за ЦП”.</w:t>
      </w:r>
    </w:p>
    <w:p w:rsidR="00A05841" w:rsidRPr="00DA7053" w:rsidRDefault="00A05841" w:rsidP="00E0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кодами мети “101” та “102” щодо переказу коштів за операціями з імпорту продукції, робіт та послуг, поставки за якими здійснені до 23 лютого 2021 року  (включно), відповідно до виключення, зазначеного у підпункті 2 пункту 14 Постанови № 18, у відомостях про операцію (Q006) зазначається коментар: “поставка до 23.02.21”.</w:t>
      </w:r>
    </w:p>
    <w:p w:rsidR="00DA7053" w:rsidRPr="00DA7053" w:rsidRDefault="00DA7053" w:rsidP="00DA705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uk-UA"/>
        </w:rPr>
        <w:t>За кодами м</w:t>
      </w:r>
      <w:r w:rsidR="00AD4276">
        <w:rPr>
          <w:rFonts w:ascii="Times New Roman" w:hAnsi="Times New Roman" w:cs="Times New Roman"/>
          <w:sz w:val="28"/>
          <w:szCs w:val="28"/>
          <w:lang w:eastAsia="uk-UA"/>
        </w:rPr>
        <w:t>ети “101”, “121”, “210”, “212”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“213”, “220”,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“505”, 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>“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404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>”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за операціями з переказу коштів з України відповідно до </w:t>
      </w:r>
      <w:r w:rsidRPr="00FA0979">
        <w:rPr>
          <w:rFonts w:ascii="Times New Roman" w:hAnsi="Times New Roman" w:cs="Times New Roman"/>
          <w:sz w:val="28"/>
          <w:szCs w:val="28"/>
          <w:lang w:eastAsia="uk-UA"/>
        </w:rPr>
        <w:t xml:space="preserve">підпунктів </w:t>
      </w:r>
      <w:r w:rsidRPr="00FA0979">
        <w:rPr>
          <w:rFonts w:ascii="Times New Roman" w:hAnsi="Times New Roman" w:cs="Times New Roman"/>
          <w:sz w:val="28"/>
          <w:szCs w:val="28"/>
          <w:lang w:val="ru-RU" w:eastAsia="uk-UA"/>
        </w:rPr>
        <w:t>41</w:t>
      </w:r>
      <w:r w:rsidRPr="00FA0979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FA0979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57 та 62 пункту 14 Постанови № 18, у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відомостях про операцію (Q006) зазначається такий коментар:</w:t>
      </w:r>
    </w:p>
    <w:p w:rsidR="00DA7053" w:rsidRPr="00AD4276" w:rsidRDefault="00DA7053" w:rsidP="00DA70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>“ліміт пп.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>” – якщо повна сума операції була здійснена на підставі підпункту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пункту 14 Постанови № 18;</w:t>
      </w:r>
    </w:p>
    <w:p w:rsidR="00DA7053" w:rsidRPr="00AD4276" w:rsidRDefault="00DA7053" w:rsidP="00DA70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>“ліміт пп.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>” із зазначенням тієї частини операції, яка була здійснена на підставі підпункту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пункту 14 Постанови №18, – якщо ця частина є складовою загальної суми операції</w:t>
      </w:r>
      <w:r w:rsidRPr="00AD4276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DA7053" w:rsidRPr="00AD4276" w:rsidRDefault="00DA7053" w:rsidP="00DA70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>“ліміт пп. 57” – якщо повна сума операції була здійснена на підставі підпункту 57 пункту 14 Постанови № 18;</w:t>
      </w:r>
    </w:p>
    <w:p w:rsidR="00DA7053" w:rsidRPr="00AD4276" w:rsidRDefault="00DA7053" w:rsidP="00DA705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>“ліміт пп. 57” із зазначенням тієї частини операції, яка була здійснена на підставі підпункту 57 пункту 14 Постанови №18, – якщо ця частина є складовою загальної суми операції;</w:t>
      </w:r>
    </w:p>
    <w:p w:rsidR="00DA7053" w:rsidRPr="00AD4276" w:rsidRDefault="00DA7053" w:rsidP="00DA705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>“ліміт пп. 62” – якщо повна сума операції була здійснена на підставі підпункту 62 пункту 14 Постанови № 18;</w:t>
      </w:r>
    </w:p>
    <w:p w:rsidR="00DA7053" w:rsidRPr="00DA7053" w:rsidRDefault="00DA7053" w:rsidP="00DA705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 xml:space="preserve">ліміт пп. 62”  із зазначенням тієї частини операції, яка була здійснена  на підставі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підпункту 62 пункту 14 Постанови №18, – якщо ця частина є складовою загальної суми операції.</w:t>
      </w:r>
    </w:p>
    <w:p w:rsidR="00F41100" w:rsidRPr="00DA7053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 – к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 w:rsidRPr="00DA7053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Pr="00DA7053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DA7053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DA7053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</w:t>
      </w:r>
      <w:r w:rsidR="00E5173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 w:rsidRPr="00DA7053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 w:rsidRPr="00DA7053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A7053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контрагента (для юридичних осіб) або код країни перебування контрагента незалежно від його резидентності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DA7053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резидентності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DA7053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DA7053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DA7053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DA7053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DA7053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</w:t>
      </w:r>
      <w:r w:rsidR="001B0BA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 України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DA7053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DA7053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DA7053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Заповнюється для всіх операцій з надходження (F091=6) та переказу (F091=5) іноземної валюти</w:t>
      </w:r>
      <w:r w:rsidR="009D16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DA7053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DA7053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DA7053" w:rsidRDefault="000933E1" w:rsidP="004016C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030=</w:t>
      </w:r>
      <w:r w:rsidR="00ED21E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DA7053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6760" w:rsidRPr="00DA7053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DA7053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DA7053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DA7053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DA7053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="00970D2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DA7053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 – код резидентності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Pr="00DA7053" w:rsidRDefault="005E414D" w:rsidP="0074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резидентності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740071" w:rsidRPr="00DA7053" w:rsidRDefault="00740071" w:rsidP="007400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фізичної особи – підприємця – електронного резидента (е-резидента) параметр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030=2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15CB" w:rsidRPr="00DA705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DA70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DA7053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E0F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для фізичної особи – підприємця – електронного резидента (е-резидента) (</w:t>
      </w:r>
      <w:r w:rsidR="000E0FCF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030=2, </w:t>
      </w:r>
      <w:r w:rsidR="000E0FCF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0E0FCF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E0F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інших отримувачів/платників коштів набуває значення відсутності розрізу (#).</w:t>
      </w:r>
    </w:p>
    <w:p w:rsidR="001E6760" w:rsidRPr="00DA7053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DA7053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6B5E6A" w:rsidRPr="00DA7053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іноземного банку-бенефіціара, якому </w:t>
      </w:r>
      <w:r w:rsidR="005375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 юридичної особи.</w:t>
      </w:r>
      <w:r w:rsidR="003170C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банку-бенефіціара (філії банку) та сім нулів праворуч.</w:t>
      </w:r>
    </w:p>
    <w:p w:rsidR="003C1814" w:rsidRPr="00DA7053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DA7053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DA7053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DA70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A7053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DA7053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DA7053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DA7053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DA7053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DA7053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DA7053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DA705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DA70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5375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банку-бенефіціара, якому переказан</w:t>
      </w:r>
      <w:r w:rsidR="001422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DA7053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DA7053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DA7053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DA70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A7053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DA7053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DA7053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DA7053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0D9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0D9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DA7053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DA7053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переказ </w:t>
      </w:r>
      <w:r w:rsidR="000E2DE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Pr="00DA7053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на підставі інших документів (крім зовнішньоекономічного контракту/договору, кредитного до</w:t>
      </w:r>
      <w:r w:rsidR="001A58C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зазначати дату платіжно</w:t>
      </w:r>
      <w:r w:rsidR="00F5085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85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DA7053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DA7053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3B5EE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дата основного контрак</w:t>
      </w:r>
      <w:r w:rsidR="007453C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ту/договору.</w:t>
      </w:r>
    </w:p>
    <w:p w:rsidR="006B5E6A" w:rsidRPr="00DA7053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7453C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заповнюється, крім операцій з надання кредиту, позики на користь клієнта резидента від нерезидента – юридичної або фізичної особи (не банку), що відображаються з кодом мети надходження “202”, для яких зазначається дата укладення кредитного договору/договору позики, на підставі яких здійснювався переказ.</w:t>
      </w:r>
    </w:p>
    <w:p w:rsidR="006433AC" w:rsidRPr="00DA7053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DA7053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DA7053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DA7053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="00C51F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DA7053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DA7053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DA7053">
        <w:rPr>
          <w:rFonts w:ascii="Times New Roman" w:hAnsi="Times New Roman" w:cs="Times New Roman"/>
          <w:sz w:val="28"/>
          <w:szCs w:val="28"/>
        </w:rPr>
        <w:t>961, 962, 964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DA7053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DA7053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Pr="00DA7053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DA7053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Загальні о</w:t>
      </w:r>
      <w:r w:rsidR="00D92C0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DA7053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DA705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DA7053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нетингу відображаються за економічним змістом операцій. 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адходження/перекази за системами міжнародних грошових переказів, у тому числі за операціями банків-субагентів, відображаються банками-агентами та принциповими членами платіжних систем за фактом 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із міжнародними платіжними системами, здійсненими на підставі клірингових виписок міжнародних платіжних систем.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D53E02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на користь/за доручен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зовнішньоекономічної операції, за як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DA7053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F976CF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Ознака 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DA705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DA7053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435495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резидентності </w:t>
      </w:r>
      <w:r w:rsidR="00FD6B8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DA7053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DA7053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повернення коштів, які раніше були відображені як консолідовані, також відображаються як консолідовані, навіть, якщо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DA7053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DA7053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еквівалент в іншій іноземній валюті за офіційним курсом, установленим Національним банком на день здійснення операції, то такі операції</w:t>
      </w:r>
      <w:r w:rsidR="0021163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резидентності (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банку-юридичній особі</w:t>
      </w:r>
      <w:r w:rsidR="00B128D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клієнтів, що відображаються з кодом мети надходження “202”, дата контракту (Q007_1) не заповнюється.</w:t>
      </w:r>
    </w:p>
    <w:p w:rsidR="00AC3782" w:rsidRPr="00DA7053" w:rsidRDefault="005B3541" w:rsidP="00AC3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резидентність (K030)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клієнтів, що відображаються з кодом мети надходження “202”, дата контракту (Q007_1) не заповнюється.</w:t>
      </w:r>
    </w:p>
    <w:p w:rsidR="009D6025" w:rsidRPr="00DA7053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DA7053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DA7053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резидентність клієнта, у тому числі якщо за день було здійснено одну операцію, код/номер клієнта заповнюється нулем (K020=0), </w:t>
      </w:r>
      <w:r w:rsidR="00874F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–  “резидент”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B3541" w:rsidRPr="00DA7053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4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DA7053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окремо.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сумою в одній валюті за дорученням одного клієнта на користь одного бенефіціара кількох переказів, які мають одну мету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DA7053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A83C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бути консолідовані за кодами операцій (F091), мети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320A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 w:rsidR="00B320A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DA7053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клієнта </w:t>
      </w:r>
      <w:r w:rsidR="00F2571D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нулем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DA7053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</w:t>
      </w:r>
      <w:r w:rsidR="008F71F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71F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E367E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 w:rsidRPr="00DA7053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r w:rsidR="00E367E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 (K030)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DA7053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звіті відображається лише одна операція з переказу коштів, сума якої </w:t>
      </w:r>
      <w:r w:rsidR="00BD084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допускається відображення такої операції за правилами відображення консолідованих операцій.</w:t>
      </w:r>
    </w:p>
    <w:p w:rsidR="000F5D50" w:rsidRPr="00DA7053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резидентність клієнта, у тому числі якщо за день було здійснено одну операцію, код/номер клієнта заповнюється нулем (K020=0),</w:t>
      </w:r>
      <w:r w:rsidR="005F4C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– “резидент”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</w:t>
      </w:r>
      <w:r w:rsidR="001B7FA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заповнюється,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DA7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363"/>
    <w:multiLevelType w:val="hybridMultilevel"/>
    <w:tmpl w:val="7EA62E3C"/>
    <w:lvl w:ilvl="0" w:tplc="3AA2AE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71F"/>
    <w:multiLevelType w:val="hybridMultilevel"/>
    <w:tmpl w:val="26FAB10E"/>
    <w:lvl w:ilvl="0" w:tplc="F868398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115E51"/>
    <w:multiLevelType w:val="hybridMultilevel"/>
    <w:tmpl w:val="AFE8FB8E"/>
    <w:lvl w:ilvl="0" w:tplc="29D4F8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C90C3D"/>
    <w:multiLevelType w:val="hybridMultilevel"/>
    <w:tmpl w:val="15721940"/>
    <w:lvl w:ilvl="0" w:tplc="5DAC075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57C8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0FCF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58C0"/>
    <w:rsid w:val="001B0BA4"/>
    <w:rsid w:val="001B3851"/>
    <w:rsid w:val="001B7FAC"/>
    <w:rsid w:val="001C31D9"/>
    <w:rsid w:val="001C7B4D"/>
    <w:rsid w:val="001D0092"/>
    <w:rsid w:val="001D2322"/>
    <w:rsid w:val="001D2B2E"/>
    <w:rsid w:val="001D37C9"/>
    <w:rsid w:val="001D698B"/>
    <w:rsid w:val="001D6E70"/>
    <w:rsid w:val="001D6F93"/>
    <w:rsid w:val="001D780D"/>
    <w:rsid w:val="001E2B2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22B"/>
    <w:rsid w:val="002E477F"/>
    <w:rsid w:val="002F4ED7"/>
    <w:rsid w:val="002F52A6"/>
    <w:rsid w:val="002F71A0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0F60"/>
    <w:rsid w:val="00351C15"/>
    <w:rsid w:val="00353A28"/>
    <w:rsid w:val="0035668E"/>
    <w:rsid w:val="0036246F"/>
    <w:rsid w:val="003626B6"/>
    <w:rsid w:val="003666B0"/>
    <w:rsid w:val="00373AF0"/>
    <w:rsid w:val="00376B40"/>
    <w:rsid w:val="00383A4B"/>
    <w:rsid w:val="00386B5F"/>
    <w:rsid w:val="00387033"/>
    <w:rsid w:val="00390E5C"/>
    <w:rsid w:val="00391976"/>
    <w:rsid w:val="0039539F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2ED1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6016"/>
    <w:rsid w:val="00417986"/>
    <w:rsid w:val="0042149B"/>
    <w:rsid w:val="00423196"/>
    <w:rsid w:val="00426A59"/>
    <w:rsid w:val="004309C8"/>
    <w:rsid w:val="0043413D"/>
    <w:rsid w:val="00435495"/>
    <w:rsid w:val="00436ADF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27AB6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1243F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0071"/>
    <w:rsid w:val="007412AC"/>
    <w:rsid w:val="00741D34"/>
    <w:rsid w:val="007453CB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05A3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4E1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05841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782"/>
    <w:rsid w:val="00AC3DB4"/>
    <w:rsid w:val="00AC498F"/>
    <w:rsid w:val="00AC4D89"/>
    <w:rsid w:val="00AC7688"/>
    <w:rsid w:val="00AC7D8D"/>
    <w:rsid w:val="00AD20D4"/>
    <w:rsid w:val="00AD4276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3EA4"/>
    <w:rsid w:val="00BC415D"/>
    <w:rsid w:val="00BC4CEE"/>
    <w:rsid w:val="00BC68DD"/>
    <w:rsid w:val="00BD084D"/>
    <w:rsid w:val="00BD0F5E"/>
    <w:rsid w:val="00BD5365"/>
    <w:rsid w:val="00BE54A3"/>
    <w:rsid w:val="00BE735D"/>
    <w:rsid w:val="00BE7A4F"/>
    <w:rsid w:val="00BF1104"/>
    <w:rsid w:val="00BF6CF6"/>
    <w:rsid w:val="00C00D99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1D4B"/>
    <w:rsid w:val="00C226F2"/>
    <w:rsid w:val="00C227E6"/>
    <w:rsid w:val="00C22CB2"/>
    <w:rsid w:val="00C23B36"/>
    <w:rsid w:val="00C2618C"/>
    <w:rsid w:val="00C3615F"/>
    <w:rsid w:val="00C3716B"/>
    <w:rsid w:val="00C3775C"/>
    <w:rsid w:val="00C4080E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1D6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F0D0C"/>
    <w:rsid w:val="00CF1A63"/>
    <w:rsid w:val="00CF419C"/>
    <w:rsid w:val="00D001CB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47B"/>
    <w:rsid w:val="00D4588A"/>
    <w:rsid w:val="00D45BA0"/>
    <w:rsid w:val="00D51D98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053"/>
    <w:rsid w:val="00DA7F15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1EF6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449BF"/>
    <w:rsid w:val="00E5173D"/>
    <w:rsid w:val="00E541FD"/>
    <w:rsid w:val="00E54E10"/>
    <w:rsid w:val="00E573B5"/>
    <w:rsid w:val="00E60B9B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0372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6153"/>
    <w:rsid w:val="00EB7ABF"/>
    <w:rsid w:val="00EB7D2B"/>
    <w:rsid w:val="00EC1B0B"/>
    <w:rsid w:val="00EC4D62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7F93"/>
    <w:rsid w:val="00F50851"/>
    <w:rsid w:val="00F517A4"/>
    <w:rsid w:val="00F5232B"/>
    <w:rsid w:val="00F56D57"/>
    <w:rsid w:val="00F577D6"/>
    <w:rsid w:val="00F61BF6"/>
    <w:rsid w:val="00F6308D"/>
    <w:rsid w:val="00F64CF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0979"/>
    <w:rsid w:val="00FA477C"/>
    <w:rsid w:val="00FB1EB4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4392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5AF4-08C3-4517-B695-F8ED8046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20675</Words>
  <Characters>11786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Гладій Марина Євгеніївна</cp:lastModifiedBy>
  <cp:revision>10</cp:revision>
  <cp:lastPrinted>2019-06-04T09:06:00Z</cp:lastPrinted>
  <dcterms:created xsi:type="dcterms:W3CDTF">2026-01-14T10:52:00Z</dcterms:created>
  <dcterms:modified xsi:type="dcterms:W3CDTF">2026-01-16T08:25:00Z</dcterms:modified>
</cp:coreProperties>
</file>