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2246 АП, 2248 А, 2249 АП, 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2450 А, 2451 А, 2452 А, 2453 А, 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Умови, за яких контрагенти банку об'єднуються в групу контрагентів, визначені Інструкцією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 xml:space="preserve">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2248 А, 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2450 А, 2451 А, 2452 А, 2453 А, 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8. Якщо пов'язана з банком особа, яка має непогашену заборгованість, перестає бути пов'язаною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70698A">
      <w:pPr>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xml:space="preserve">- договори як з фізичною особою, так і з </w:t>
      </w:r>
      <w:proofErr w:type="spellStart"/>
      <w:r w:rsidRPr="0070698A">
        <w:rPr>
          <w:rFonts w:ascii="Times New Roman" w:hAnsi="Times New Roman" w:cs="Times New Roman"/>
          <w:sz w:val="28"/>
          <w:szCs w:val="28"/>
          <w:lang w:eastAsia="uk-UA"/>
        </w:rPr>
        <w:t>з</w:t>
      </w:r>
      <w:proofErr w:type="spellEnd"/>
      <w:r w:rsidRPr="0070698A">
        <w:rPr>
          <w:rFonts w:ascii="Times New Roman" w:hAnsi="Times New Roman" w:cs="Times New Roman"/>
          <w:sz w:val="28"/>
          <w:szCs w:val="28"/>
          <w:lang w:eastAsia="uk-UA"/>
        </w:rPr>
        <w:t xml:space="preserve"> суб`єктом підприємницької діяльності,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9089C" w:rsidRPr="00B55731" w:rsidRDefault="0069089C" w:rsidP="004036FD">
      <w:pPr>
        <w:pStyle w:val="aa"/>
        <w:shd w:val="clear" w:color="auto" w:fill="FFFFFF"/>
        <w:spacing w:before="0" w:beforeAutospacing="0" w:after="0" w:afterAutospacing="0"/>
        <w:ind w:firstLine="709"/>
        <w:jc w:val="both"/>
        <w:rPr>
          <w:sz w:val="28"/>
          <w:szCs w:val="28"/>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цифровий код країни контрагента/пов'язаної з банком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інституційного сектору економіки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юридичної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140). 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 № 351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контрагента/пов’язаної з банком особи – юридичної особи, необхідної для заповнення </w:t>
      </w:r>
      <w:proofErr w:type="spellStart"/>
      <w:r w:rsidR="00B704EE" w:rsidRPr="00B704EE">
        <w:rPr>
          <w:rFonts w:ascii="Times New Roman" w:eastAsia="Times New Roman" w:hAnsi="Times New Roman" w:cs="Times New Roman"/>
          <w:sz w:val="28"/>
          <w:szCs w:val="28"/>
          <w:lang w:eastAsia="uk-UA"/>
        </w:rPr>
        <w:t>файл</w:t>
      </w:r>
      <w:r w:rsidR="00B704EE">
        <w:rPr>
          <w:rFonts w:ascii="Times New Roman" w:eastAsia="Times New Roman" w:hAnsi="Times New Roman" w:cs="Times New Roman"/>
          <w:sz w:val="28"/>
          <w:szCs w:val="28"/>
          <w:lang w:eastAsia="uk-UA"/>
        </w:rPr>
        <w:t>а</w:t>
      </w:r>
      <w:proofErr w:type="spellEnd"/>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Код/номер зазначається якщо цей код/номер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 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AF1077" w:rsidRPr="00AF1077">
        <w:rPr>
          <w:rFonts w:ascii="Times New Roman" w:eastAsia="Times New Roman" w:hAnsi="Times New Roman" w:cs="Times New Roman"/>
          <w:sz w:val="28"/>
          <w:szCs w:val="28"/>
          <w:lang w:eastAsia="uk-UA"/>
        </w:rPr>
        <w:t>код відокремленого підрозділу банка</w:t>
      </w:r>
      <w:r w:rsidRPr="00580FC9">
        <w:rPr>
          <w:rFonts w:ascii="Times New Roman" w:eastAsia="Times New Roman" w:hAnsi="Times New Roman" w:cs="Times New Roman"/>
          <w:sz w:val="28"/>
          <w:szCs w:val="28"/>
          <w:lang w:eastAsia="uk-UA"/>
        </w:rPr>
        <w:t>, у якому зберігається документація, на підставі якої здійснюється класифікація активної банківської операції відповідно до Положення № 351 (</w:t>
      </w:r>
      <w:r w:rsidR="00AF1077" w:rsidRPr="00AF1077">
        <w:rPr>
          <w:rFonts w:ascii="Times New Roman" w:eastAsia="Times New Roman" w:hAnsi="Times New Roman" w:cs="Times New Roman"/>
          <w:sz w:val="28"/>
          <w:szCs w:val="28"/>
          <w:lang w:eastAsia="uk-UA"/>
        </w:rPr>
        <w:t>єдиний ідентифікатор Національного банку України – код ID НБУ</w:t>
      </w:r>
      <w:r w:rsidRPr="00580FC9">
        <w:rPr>
          <w:rFonts w:ascii="Times New Roman" w:eastAsia="Times New Roman" w:hAnsi="Times New Roman" w:cs="Times New Roman"/>
          <w:sz w:val="28"/>
          <w:szCs w:val="28"/>
          <w:lang w:eastAsia="uk-UA"/>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w:t>
      </w:r>
      <w:r w:rsidRPr="00580FC9">
        <w:rPr>
          <w:rFonts w:ascii="Times New Roman" w:eastAsia="Times New Roman" w:hAnsi="Times New Roman" w:cs="Times New Roman"/>
          <w:sz w:val="28"/>
          <w:szCs w:val="28"/>
          <w:lang w:eastAsia="uk-UA"/>
        </w:rPr>
        <w:lastRenderedPageBreak/>
        <w:t xml:space="preserve">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номер цінного папера (ISIN - 12 знаків) (за наявності)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w:t>
      </w:r>
      <w:r w:rsidRPr="00580FC9">
        <w:rPr>
          <w:rFonts w:ascii="Times New Roman" w:eastAsia="Times New Roman" w:hAnsi="Times New Roman" w:cs="Times New Roman"/>
          <w:sz w:val="28"/>
          <w:szCs w:val="28"/>
          <w:lang w:eastAsia="uk-UA"/>
        </w:rPr>
        <w:lastRenderedPageBreak/>
        <w:t xml:space="preserve">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w:t>
      </w:r>
      <w:r w:rsidR="00AE11AA" w:rsidRPr="00AE11AA">
        <w:rPr>
          <w:rFonts w:ascii="Times New Roman" w:eastAsia="Times New Roman" w:hAnsi="Times New Roman" w:cs="Times New Roman"/>
          <w:sz w:val="28"/>
          <w:szCs w:val="28"/>
          <w:lang w:eastAsia="uk-UA"/>
        </w:rPr>
        <w:t>, 67</w:t>
      </w:r>
      <w:r w:rsidR="00AE11AA" w:rsidRPr="00AE11AA">
        <w:rPr>
          <w:rFonts w:ascii="Times New Roman" w:eastAsia="Times New Roman" w:hAnsi="Times New Roman" w:cs="Times New Roman"/>
          <w:sz w:val="28"/>
          <w:szCs w:val="28"/>
          <w:vertAlign w:val="superscript"/>
          <w:lang w:eastAsia="uk-UA"/>
        </w:rPr>
        <w:t>5</w:t>
      </w:r>
      <w:r w:rsidR="00AE11AA" w:rsidRPr="00AE11A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Pr="00526641"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E11AA" w:rsidRDefault="00AE11AA"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AE11AA" w:rsidRPr="00AE11AA" w:rsidRDefault="005D08C2" w:rsidP="00AE11AA">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Q006</w:t>
      </w:r>
      <w:r w:rsidR="00AE11AA" w:rsidRPr="00AE11AA">
        <w:rPr>
          <w:rFonts w:ascii="Times New Roman" w:eastAsia="Times New Roman" w:hAnsi="Times New Roman" w:cs="Times New Roman"/>
          <w:sz w:val="28"/>
          <w:szCs w:val="28"/>
          <w:lang w:eastAsia="uk-UA"/>
        </w:rPr>
        <w:t xml:space="preserve"> – код щодо наявності характеристик, визначених пунктом 67</w:t>
      </w:r>
      <w:r w:rsidR="00AE11AA" w:rsidRPr="00AE11AA">
        <w:rPr>
          <w:rFonts w:ascii="Times New Roman" w:eastAsia="Times New Roman" w:hAnsi="Times New Roman" w:cs="Times New Roman"/>
          <w:sz w:val="28"/>
          <w:szCs w:val="28"/>
          <w:vertAlign w:val="superscript"/>
          <w:lang w:eastAsia="uk-UA"/>
        </w:rPr>
        <w:t>4</w:t>
      </w:r>
      <w:r w:rsidR="00AE11AA" w:rsidRPr="00AE11AA">
        <w:rPr>
          <w:rFonts w:ascii="Times New Roman" w:eastAsia="Times New Roman" w:hAnsi="Times New Roman" w:cs="Times New Roman"/>
          <w:sz w:val="28"/>
          <w:szCs w:val="28"/>
          <w:lang w:eastAsia="uk-UA"/>
        </w:rPr>
        <w:t xml:space="preserve"> розділу IV</w:t>
      </w:r>
      <w:r w:rsidR="00AE11AA" w:rsidRPr="00AE11AA">
        <w:rPr>
          <w:rFonts w:ascii="Times New Roman" w:eastAsia="Times New Roman" w:hAnsi="Times New Roman" w:cs="Times New Roman"/>
          <w:sz w:val="28"/>
          <w:szCs w:val="28"/>
          <w:vertAlign w:val="superscript"/>
          <w:lang w:eastAsia="uk-UA"/>
        </w:rPr>
        <w:t>1</w:t>
      </w:r>
      <w:r w:rsidR="00AE11AA" w:rsidRPr="00AE11AA">
        <w:rPr>
          <w:rFonts w:ascii="Times New Roman" w:eastAsia="Times New Roman" w:hAnsi="Times New Roman" w:cs="Times New Roman"/>
          <w:sz w:val="28"/>
          <w:szCs w:val="28"/>
          <w:lang w:eastAsia="uk-UA"/>
        </w:rPr>
        <w:t xml:space="preserve"> Положення № 351, на підставі яких коригується клас </w:t>
      </w:r>
      <w:r w:rsidR="00AE11AA" w:rsidRPr="00AE11AA">
        <w:rPr>
          <w:rFonts w:ascii="Times New Roman" w:eastAsia="Times New Roman" w:hAnsi="Times New Roman" w:cs="Times New Roman"/>
          <w:sz w:val="28"/>
          <w:szCs w:val="28"/>
          <w:lang w:eastAsia="uk-UA"/>
        </w:rPr>
        <w:lastRenderedPageBreak/>
        <w:t>контрагента/пов'язаної з банком особи, набу</w:t>
      </w:r>
      <w:r>
        <w:rPr>
          <w:rFonts w:ascii="Times New Roman" w:eastAsia="Times New Roman" w:hAnsi="Times New Roman" w:cs="Times New Roman"/>
          <w:sz w:val="28"/>
          <w:szCs w:val="28"/>
          <w:lang w:eastAsia="uk-UA"/>
        </w:rPr>
        <w:t>ває значень “1” – так; “0” – ні або не заповнюється</w:t>
      </w:r>
      <w:r w:rsidR="00AE11AA" w:rsidRPr="00AE11AA">
        <w:rPr>
          <w:rFonts w:ascii="Times New Roman" w:eastAsia="Times New Roman" w:hAnsi="Times New Roman" w:cs="Times New Roman"/>
          <w:sz w:val="28"/>
          <w:szCs w:val="28"/>
          <w:lang w:eastAsia="uk-UA"/>
        </w:rPr>
        <w:t>.</w:t>
      </w:r>
    </w:p>
    <w:p w:rsidR="004578F3" w:rsidRPr="004578F3" w:rsidRDefault="004578F3" w:rsidP="004578F3">
      <w:pPr>
        <w:spacing w:after="0" w:line="240" w:lineRule="auto"/>
        <w:ind w:firstLine="709"/>
        <w:contextualSpacing/>
        <w:jc w:val="both"/>
        <w:rPr>
          <w:rFonts w:ascii="Times New Roman" w:eastAsia="Times New Roman" w:hAnsi="Times New Roman" w:cs="Times New Roman"/>
          <w:sz w:val="28"/>
          <w:szCs w:val="28"/>
          <w:lang w:eastAsia="uk-UA"/>
        </w:rPr>
      </w:pPr>
      <w:r w:rsidRPr="004578F3">
        <w:rPr>
          <w:rFonts w:ascii="Times New Roman" w:eastAsia="Times New Roman" w:hAnsi="Times New Roman" w:cs="Times New Roman"/>
          <w:sz w:val="28"/>
          <w:szCs w:val="28"/>
          <w:lang w:eastAsia="uk-UA"/>
        </w:rPr>
        <w:t xml:space="preserve">За активними банківськими операціями, за якими </w:t>
      </w:r>
      <w:r w:rsidRPr="00580FC9">
        <w:rPr>
          <w:rFonts w:ascii="Times New Roman" w:eastAsia="Times New Roman" w:hAnsi="Times New Roman" w:cs="Times New Roman"/>
          <w:sz w:val="28"/>
          <w:szCs w:val="28"/>
          <w:lang w:eastAsia="uk-UA"/>
        </w:rPr>
        <w:t>згідно з Положенням № 351 до контра</w:t>
      </w:r>
      <w:r>
        <w:rPr>
          <w:rFonts w:ascii="Times New Roman" w:eastAsia="Times New Roman" w:hAnsi="Times New Roman" w:cs="Times New Roman"/>
          <w:sz w:val="28"/>
          <w:szCs w:val="28"/>
          <w:lang w:eastAsia="uk-UA"/>
        </w:rPr>
        <w:t xml:space="preserve">гента/пов’язаної з банком особи </w:t>
      </w:r>
      <w:r w:rsidRPr="004578F3">
        <w:rPr>
          <w:rFonts w:ascii="Times New Roman" w:eastAsia="Times New Roman" w:hAnsi="Times New Roman" w:cs="Times New Roman"/>
          <w:sz w:val="28"/>
          <w:szCs w:val="28"/>
          <w:lang w:eastAsia="uk-UA"/>
        </w:rPr>
        <w:t>не застосовуються характеристики, визначені пунктом 67</w:t>
      </w:r>
      <w:r w:rsidRPr="004578F3">
        <w:rPr>
          <w:rFonts w:ascii="Times New Roman" w:eastAsia="Times New Roman" w:hAnsi="Times New Roman" w:cs="Times New Roman"/>
          <w:sz w:val="28"/>
          <w:szCs w:val="28"/>
          <w:vertAlign w:val="superscript"/>
          <w:lang w:eastAsia="uk-UA"/>
        </w:rPr>
        <w:t>4</w:t>
      </w:r>
      <w:r w:rsidRPr="004578F3">
        <w:rPr>
          <w:rFonts w:ascii="Times New Roman" w:eastAsia="Times New Roman" w:hAnsi="Times New Roman" w:cs="Times New Roman"/>
          <w:sz w:val="28"/>
          <w:szCs w:val="28"/>
          <w:lang w:eastAsia="uk-UA"/>
        </w:rPr>
        <w:t xml:space="preserve"> розділу IV</w:t>
      </w:r>
      <w:r w:rsidRPr="004578F3">
        <w:rPr>
          <w:rFonts w:ascii="Times New Roman" w:eastAsia="Times New Roman" w:hAnsi="Times New Roman" w:cs="Times New Roman"/>
          <w:sz w:val="28"/>
          <w:szCs w:val="28"/>
          <w:vertAlign w:val="superscript"/>
          <w:lang w:eastAsia="uk-UA"/>
        </w:rPr>
        <w:t>1</w:t>
      </w:r>
      <w:r w:rsidRPr="004578F3">
        <w:rPr>
          <w:rFonts w:ascii="Times New Roman" w:eastAsia="Times New Roman" w:hAnsi="Times New Roman" w:cs="Times New Roman"/>
          <w:sz w:val="28"/>
          <w:szCs w:val="28"/>
          <w:lang w:eastAsia="uk-UA"/>
        </w:rPr>
        <w:t xml:space="preserve"> Положення № 351, НРП Q006 не заповнюється. </w:t>
      </w:r>
    </w:p>
    <w:p w:rsidR="00AE11AA" w:rsidRPr="005D08C2" w:rsidRDefault="00AE11AA" w:rsidP="00AE11AA">
      <w:pPr>
        <w:spacing w:after="0" w:line="240" w:lineRule="auto"/>
        <w:ind w:firstLine="709"/>
        <w:contextualSpacing/>
        <w:jc w:val="both"/>
        <w:rPr>
          <w:rFonts w:ascii="Times New Roman" w:eastAsia="Times New Roman" w:hAnsi="Times New Roman" w:cs="Times New Roman"/>
          <w:sz w:val="28"/>
          <w:szCs w:val="28"/>
          <w:lang w:eastAsia="uk-UA"/>
        </w:rPr>
      </w:pPr>
      <w:r w:rsidRPr="00AE11A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w:t>
      </w:r>
      <w:r w:rsidR="005D08C2">
        <w:rPr>
          <w:rFonts w:ascii="Times New Roman" w:eastAsia="Times New Roman" w:hAnsi="Times New Roman" w:cs="Times New Roman"/>
          <w:sz w:val="28"/>
          <w:szCs w:val="28"/>
          <w:lang w:eastAsia="uk-UA"/>
        </w:rPr>
        <w:t>НРП Q006</w:t>
      </w:r>
      <w:r w:rsidRPr="00AE11AA">
        <w:rPr>
          <w:rFonts w:ascii="Times New Roman" w:eastAsia="Times New Roman" w:hAnsi="Times New Roman" w:cs="Times New Roman"/>
          <w:sz w:val="28"/>
          <w:szCs w:val="28"/>
          <w:lang w:eastAsia="uk-UA"/>
        </w:rPr>
        <w:t xml:space="preserve"> </w:t>
      </w:r>
      <w:r w:rsidR="005D08C2">
        <w:rPr>
          <w:rFonts w:ascii="Times New Roman" w:eastAsia="Times New Roman" w:hAnsi="Times New Roman" w:cs="Times New Roman"/>
          <w:sz w:val="28"/>
          <w:szCs w:val="28"/>
          <w:lang w:eastAsia="uk-UA"/>
        </w:rPr>
        <w:t>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w:t>
      </w:r>
      <w:r w:rsidR="00AE11AA">
        <w:rPr>
          <w:rFonts w:ascii="Times New Roman" w:eastAsia="Times New Roman" w:hAnsi="Times New Roman" w:cs="Times New Roman"/>
          <w:sz w:val="28"/>
          <w:szCs w:val="28"/>
          <w:lang w:val="ru-RU" w:eastAsia="uk-UA"/>
        </w:rPr>
        <w:t xml:space="preserve">НРП </w:t>
      </w:r>
      <w:r w:rsidRPr="00580FC9">
        <w:rPr>
          <w:rFonts w:ascii="Times New Roman" w:eastAsia="Times New Roman" w:hAnsi="Times New Roman" w:cs="Times New Roman"/>
          <w:sz w:val="28"/>
          <w:szCs w:val="28"/>
          <w:lang w:eastAsia="uk-UA"/>
        </w:rPr>
        <w:t>Q027, НРП Q034</w:t>
      </w:r>
      <w:r w:rsidR="005D08C2">
        <w:rPr>
          <w:rFonts w:ascii="Times New Roman" w:eastAsia="Times New Roman" w:hAnsi="Times New Roman" w:cs="Times New Roman"/>
          <w:sz w:val="28"/>
          <w:szCs w:val="28"/>
          <w:lang w:eastAsia="uk-UA"/>
        </w:rPr>
        <w:t>, НРП Q006</w:t>
      </w:r>
      <w:r w:rsidRPr="00580FC9">
        <w:rPr>
          <w:rFonts w:ascii="Times New Roman" w:eastAsia="Times New Roman" w:hAnsi="Times New Roman" w:cs="Times New Roman"/>
          <w:sz w:val="28"/>
          <w:szCs w:val="28"/>
          <w:lang w:eastAsia="uk-UA"/>
        </w:rPr>
        <w:t xml:space="preserve">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A22B7E">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контрагента/пов’язаної з банком особи або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proofErr w:type="spellStart"/>
      <w:r w:rsidRPr="00580FC9">
        <w:rPr>
          <w:rFonts w:ascii="Times New Roman" w:eastAsia="Times New Roman" w:hAnsi="Times New Roman" w:cs="Times New Roman"/>
          <w:sz w:val="28"/>
          <w:szCs w:val="28"/>
          <w:lang w:eastAsia="uk-UA"/>
        </w:rPr>
        <w:t>зобовʼязань</w:t>
      </w:r>
      <w:proofErr w:type="spellEnd"/>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w:t>
      </w:r>
      <w:r w:rsidR="00AE11AA" w:rsidRPr="00AE11AA">
        <w:rPr>
          <w:rFonts w:ascii="Times New Roman" w:eastAsia="Times New Roman" w:hAnsi="Times New Roman" w:cs="Times New Roman"/>
          <w:sz w:val="28"/>
          <w:szCs w:val="28"/>
          <w:lang w:eastAsia="uk-UA"/>
        </w:rPr>
        <w:t xml:space="preserve">, </w:t>
      </w:r>
      <w:r w:rsidR="00AE11AA">
        <w:rPr>
          <w:rFonts w:ascii="Times New Roman" w:eastAsia="Times New Roman" w:hAnsi="Times New Roman" w:cs="Times New Roman"/>
          <w:sz w:val="28"/>
          <w:szCs w:val="28"/>
          <w:lang w:val="en-US" w:eastAsia="uk-UA"/>
        </w:rPr>
        <w:t>Q</w:t>
      </w:r>
      <w:r w:rsidR="005D08C2">
        <w:rPr>
          <w:rFonts w:ascii="Times New Roman" w:eastAsia="Times New Roman" w:hAnsi="Times New Roman" w:cs="Times New Roman"/>
          <w:sz w:val="28"/>
          <w:szCs w:val="28"/>
          <w:lang w:eastAsia="uk-UA"/>
        </w:rPr>
        <w:t>006</w:t>
      </w:r>
      <w:r w:rsidRPr="00EE1269">
        <w:rPr>
          <w:rFonts w:ascii="Times New Roman" w:eastAsia="Times New Roman" w:hAnsi="Times New Roman" w:cs="Times New Roman"/>
          <w:sz w:val="28"/>
          <w:szCs w:val="28"/>
          <w:lang w:eastAsia="uk-UA"/>
        </w:rPr>
        <w:t xml:space="preserve">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466CCB" w:rsidRPr="00466CCB" w:rsidRDefault="00466CCB" w:rsidP="00466CCB">
      <w:pPr>
        <w:spacing w:after="0" w:line="240" w:lineRule="auto"/>
        <w:ind w:firstLine="709"/>
        <w:contextualSpacing/>
        <w:jc w:val="both"/>
        <w:rPr>
          <w:rFonts w:ascii="Times New Roman" w:eastAsia="Times New Roman" w:hAnsi="Times New Roman" w:cs="Times New Roman"/>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w:t>
      </w:r>
      <w:proofErr w:type="spellStart"/>
      <w:r>
        <w:rPr>
          <w:rFonts w:ascii="Times New Roman" w:eastAsia="Times New Roman" w:hAnsi="Times New Roman" w:cs="Times New Roman"/>
          <w:sz w:val="28"/>
          <w:szCs w:val="28"/>
          <w:lang w:eastAsia="uk-UA"/>
        </w:rPr>
        <w:t>зобов</w:t>
      </w:r>
      <w:proofErr w:type="spellEnd"/>
      <w:r w:rsidRPr="00655B09">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язаннями</w:t>
      </w:r>
      <w:proofErr w:type="spellEnd"/>
      <w:r>
        <w:rPr>
          <w:rFonts w:ascii="Times New Roman" w:eastAsia="Times New Roman" w:hAnsi="Times New Roman" w:cs="Times New Roman"/>
          <w:sz w:val="28"/>
          <w:szCs w:val="28"/>
          <w:lang w:eastAsia="uk-UA"/>
        </w:rPr>
        <w:t>.</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lastRenderedPageBreak/>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655B09" w:rsidRPr="00655B09" w:rsidRDefault="00655B09"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E422BE" w:rsidRDefault="00E422BE" w:rsidP="0037796D">
      <w:pPr>
        <w:spacing w:after="0" w:line="240" w:lineRule="auto"/>
        <w:ind w:firstLine="709"/>
        <w:jc w:val="both"/>
        <w:rPr>
          <w:rFonts w:ascii="Times New Roman" w:eastAsia="Times New Roman" w:hAnsi="Times New Roman" w:cs="Times New Roman"/>
          <w:sz w:val="28"/>
          <w:szCs w:val="28"/>
          <w:lang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Pr="00515960"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1546/R013(5) АП, 2016/R013(5) АП, 2026/R013(5) АП, 2036/R013(5) АП, 2046/R013(5) АП, 2066/R013(5) АП, 2076/R013(5) АП, 2086/R013(5) АП, 2106/R013(5) АП, 2116/R013(5) АП, 2126/R013(5) АП, 2136/R013(5) АП, 2146/R013(5) АП, 2206/R013(5) АП, 2216/R013(5) АП, 2226/R013(5) АП, 2236/R013(5) АП, 2246/R013(5) АП, 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2406/R013(5) АП, 2416/R013(5) АП, 2426/R013(5) АП, 2436/R013(5) АП, 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справедливої вартості забезпечення (CV), що є прийнятним згідно з вимогами Положення № 351. </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801C92">
        <w:rPr>
          <w:rFonts w:ascii="Times New Roman" w:eastAsia="Times New Roman" w:hAnsi="Times New Roman" w:cs="Times New Roman"/>
          <w:sz w:val="28"/>
          <w:szCs w:val="28"/>
          <w:lang w:eastAsia="uk-UA"/>
        </w:rPr>
        <w:t>с</w:t>
      </w:r>
      <w:r w:rsidRPr="00640D8C">
        <w:rPr>
          <w:rFonts w:ascii="Times New Roman" w:eastAsia="Times New Roman" w:hAnsi="Times New Roman" w:cs="Times New Roman"/>
          <w:sz w:val="28"/>
          <w:szCs w:val="28"/>
          <w:lang w:eastAsia="uk-UA"/>
        </w:rPr>
        <w:t xml:space="preserve">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w:t>
      </w:r>
      <w:r w:rsidR="00801C92">
        <w:rPr>
          <w:rFonts w:ascii="Times New Roman" w:eastAsia="Times New Roman" w:hAnsi="Times New Roman" w:cs="Times New Roman"/>
          <w:sz w:val="28"/>
          <w:szCs w:val="28"/>
          <w:lang w:val="en-US" w:eastAsia="uk-UA"/>
        </w:rPr>
        <w:t>T</w:t>
      </w:r>
      <w:r w:rsidRPr="00640D8C">
        <w:rPr>
          <w:rFonts w:ascii="Times New Roman" w:eastAsia="Times New Roman" w:hAnsi="Times New Roman" w:cs="Times New Roman"/>
          <w:sz w:val="28"/>
          <w:szCs w:val="28"/>
          <w:lang w:eastAsia="uk-UA"/>
        </w:rPr>
        <w:t>070 на відповідний коефіцієнт ліквідності (k), визначений згідно з Положенням № 351.</w:t>
      </w:r>
    </w:p>
    <w:p w:rsid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801C92">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lastRenderedPageBreak/>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w:t>
      </w:r>
      <w:proofErr w:type="spellStart"/>
      <w:r w:rsidR="009C32E2">
        <w:rPr>
          <w:rFonts w:ascii="Times New Roman" w:eastAsia="Times New Roman" w:hAnsi="Times New Roman" w:cs="Times New Roman"/>
          <w:sz w:val="28"/>
          <w:szCs w:val="28"/>
          <w:lang w:eastAsia="uk-UA"/>
        </w:rPr>
        <w:t>файла</w:t>
      </w:r>
      <w:proofErr w:type="spellEnd"/>
      <w:r w:rsidR="009C32E2">
        <w:rPr>
          <w:rFonts w:ascii="Times New Roman" w:eastAsia="Times New Roman" w:hAnsi="Times New Roman" w:cs="Times New Roman"/>
          <w:sz w:val="28"/>
          <w:szCs w:val="28"/>
          <w:lang w:eastAsia="uk-UA"/>
        </w:rPr>
        <w:t xml:space="preserve">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B6C36"/>
    <w:rsid w:val="000C4C35"/>
    <w:rsid w:val="000C58A6"/>
    <w:rsid w:val="000D1E94"/>
    <w:rsid w:val="000E1C20"/>
    <w:rsid w:val="000E4103"/>
    <w:rsid w:val="000F0EAA"/>
    <w:rsid w:val="000F6780"/>
    <w:rsid w:val="000F7563"/>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4BC6"/>
    <w:rsid w:val="0044516C"/>
    <w:rsid w:val="004568B1"/>
    <w:rsid w:val="004578F3"/>
    <w:rsid w:val="00465256"/>
    <w:rsid w:val="0046553F"/>
    <w:rsid w:val="00466CCB"/>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1CE0"/>
    <w:rsid w:val="004D6717"/>
    <w:rsid w:val="004E149A"/>
    <w:rsid w:val="004E2E62"/>
    <w:rsid w:val="004E308A"/>
    <w:rsid w:val="004E60F6"/>
    <w:rsid w:val="004E704C"/>
    <w:rsid w:val="004E7696"/>
    <w:rsid w:val="004F0611"/>
    <w:rsid w:val="004F12D3"/>
    <w:rsid w:val="004F6BBE"/>
    <w:rsid w:val="00506E31"/>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D08C2"/>
    <w:rsid w:val="005E1AF4"/>
    <w:rsid w:val="005E2A44"/>
    <w:rsid w:val="005E41A8"/>
    <w:rsid w:val="005E4B6F"/>
    <w:rsid w:val="005E63A7"/>
    <w:rsid w:val="005F1E09"/>
    <w:rsid w:val="005F36B6"/>
    <w:rsid w:val="005F6DB9"/>
    <w:rsid w:val="005F717C"/>
    <w:rsid w:val="006121EC"/>
    <w:rsid w:val="006135DF"/>
    <w:rsid w:val="00613E69"/>
    <w:rsid w:val="00616D24"/>
    <w:rsid w:val="00617DC7"/>
    <w:rsid w:val="00622667"/>
    <w:rsid w:val="006229B7"/>
    <w:rsid w:val="00640D8C"/>
    <w:rsid w:val="00644D8E"/>
    <w:rsid w:val="00651074"/>
    <w:rsid w:val="00655B09"/>
    <w:rsid w:val="00655EF8"/>
    <w:rsid w:val="00656DBC"/>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6DB8"/>
    <w:rsid w:val="00831344"/>
    <w:rsid w:val="00834337"/>
    <w:rsid w:val="00841164"/>
    <w:rsid w:val="00851755"/>
    <w:rsid w:val="00851A99"/>
    <w:rsid w:val="00852C87"/>
    <w:rsid w:val="00861A2C"/>
    <w:rsid w:val="00862872"/>
    <w:rsid w:val="00864020"/>
    <w:rsid w:val="00867DC2"/>
    <w:rsid w:val="008768DD"/>
    <w:rsid w:val="00877BBA"/>
    <w:rsid w:val="008802C3"/>
    <w:rsid w:val="0088213B"/>
    <w:rsid w:val="008821B5"/>
    <w:rsid w:val="00882929"/>
    <w:rsid w:val="00885CF4"/>
    <w:rsid w:val="0088742D"/>
    <w:rsid w:val="0089527B"/>
    <w:rsid w:val="008A2660"/>
    <w:rsid w:val="008A7BF1"/>
    <w:rsid w:val="008C3577"/>
    <w:rsid w:val="008C6817"/>
    <w:rsid w:val="008E1CBC"/>
    <w:rsid w:val="008F0FFB"/>
    <w:rsid w:val="008F257B"/>
    <w:rsid w:val="00900790"/>
    <w:rsid w:val="00901C19"/>
    <w:rsid w:val="0091794F"/>
    <w:rsid w:val="009201A2"/>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B5CF3"/>
    <w:rsid w:val="009C32E2"/>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1AA"/>
    <w:rsid w:val="00AE1C7E"/>
    <w:rsid w:val="00AE3AD5"/>
    <w:rsid w:val="00AE4C38"/>
    <w:rsid w:val="00AE5A04"/>
    <w:rsid w:val="00AF1077"/>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7C00"/>
    <w:rsid w:val="00B704EE"/>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76B1"/>
    <w:rsid w:val="00CA2221"/>
    <w:rsid w:val="00CA4D65"/>
    <w:rsid w:val="00CA539A"/>
    <w:rsid w:val="00CB0BDF"/>
    <w:rsid w:val="00CB11C8"/>
    <w:rsid w:val="00CB5760"/>
    <w:rsid w:val="00CB5E6D"/>
    <w:rsid w:val="00CC3FB2"/>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A1668"/>
    <w:rsid w:val="00DA2330"/>
    <w:rsid w:val="00DA5E9F"/>
    <w:rsid w:val="00DB0DB8"/>
    <w:rsid w:val="00DB112F"/>
    <w:rsid w:val="00DB2D1A"/>
    <w:rsid w:val="00DB6649"/>
    <w:rsid w:val="00DC6BE8"/>
    <w:rsid w:val="00DC7120"/>
    <w:rsid w:val="00DC732C"/>
    <w:rsid w:val="00DD46B2"/>
    <w:rsid w:val="00DD75AC"/>
    <w:rsid w:val="00DE0EE0"/>
    <w:rsid w:val="00E03BF3"/>
    <w:rsid w:val="00E060F3"/>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374C"/>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51A06-2750-41F6-AC64-950CCF8A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42771</Words>
  <Characters>24381</Characters>
  <Application>Microsoft Office Word</Application>
  <DocSecurity>0</DocSecurity>
  <Lines>203</Lines>
  <Paragraphs>134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2021-12-30T10:40:00Z</dcterms:created>
  <dcterms:modified xsi:type="dcterms:W3CDTF">2021-12-30T10:40:00Z</dcterms:modified>
</cp:coreProperties>
</file>