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0D7D18" w:rsidRPr="00603E46" w:rsidRDefault="000D7D18" w:rsidP="000D7D18">
      <w:pPr>
        <w:spacing w:after="12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кредитно-інвестиційної підгрупи його банківської групи (далі - учасник КІП), то подаються дані про активні операції за видами фінансових послуг, визначеними  пунктами 2, 4, 5 та 6 частини першої статті 4 Закону України “Про фінансові послуги та фінансові компанії”.</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об'єднуються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6. Належність контрагентів до пов'язаних з банком осіб визначається згідно зі статтею 52 Закону України "Про банки і банківську діяльність".</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w:t>
      </w:r>
      <w:proofErr w:type="spellStart"/>
      <w:r w:rsidRPr="00311748">
        <w:rPr>
          <w:rFonts w:ascii="Times New Roman" w:eastAsia="Times New Roman" w:hAnsi="Times New Roman" w:cs="Times New Roman"/>
          <w:sz w:val="28"/>
          <w:szCs w:val="28"/>
          <w:lang w:eastAsia="uk-UA"/>
        </w:rPr>
        <w:t>оборотно</w:t>
      </w:r>
      <w:proofErr w:type="spellEnd"/>
      <w:r w:rsidRPr="00311748">
        <w:rPr>
          <w:rFonts w:ascii="Times New Roman" w:eastAsia="Times New Roman" w:hAnsi="Times New Roman" w:cs="Times New Roman"/>
          <w:sz w:val="28"/>
          <w:szCs w:val="28"/>
          <w:lang w:eastAsia="uk-UA"/>
        </w:rPr>
        <w:t xml:space="preserve">-сальдовим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w:t>
      </w:r>
      <w:r w:rsidRPr="00311748">
        <w:rPr>
          <w:rFonts w:ascii="Times New Roman" w:eastAsia="Times New Roman" w:hAnsi="Times New Roman" w:cs="Times New Roman"/>
          <w:sz w:val="28"/>
          <w:szCs w:val="28"/>
          <w:lang w:eastAsia="uk-UA"/>
        </w:rPr>
        <w:lastRenderedPageBreak/>
        <w:t xml:space="preserve">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r w:rsidRPr="00603E46">
        <w:rPr>
          <w:rFonts w:ascii="Times New Roman" w:hAnsi="Times New Roman" w:cs="Times New Roman"/>
          <w:bCs/>
          <w:sz w:val="28"/>
          <w:szCs w:val="28"/>
          <w:lang w:eastAsia="ru-RU"/>
        </w:rPr>
        <w:t>Під час визначення даних про активні операції учасника КІП, які відповідно до цього пояснення необхідно відображати у файлах 6FX, 6GX, 6HX, 6IX, до розрахунку загальної суми всіх вимог учасника КІП, наданих учасником КІП фінансових зобов'язань та списаної заборгованості щодо одного контрагента / групи контрагентів / пов'язаної з учасником КІП особи включаються суми, за видами фінансових послуг, визначеними  пунктами 2, 4, 5 та 6 частини першої статті 4 Закону України “Про фінансові послуги та фінансові компанії”.</w:t>
      </w:r>
    </w:p>
    <w:p w:rsidR="000D7D1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контрагентом/пов'язаною з банком особою, що є емітентом/векселедавцем/визначеною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70698A">
      <w:pPr>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lastRenderedPageBreak/>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суб`єктом підприємницької діяльності, то інформація щодо такої особи відображається як за фізичною особою.</w:t>
      </w:r>
    </w:p>
    <w:p w:rsidR="0070698A"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70698A">
      <w:pPr>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311748">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r w:rsidRPr="00580FC9">
        <w:rPr>
          <w:rFonts w:ascii="Times New Roman" w:eastAsia="Times New Roman" w:hAnsi="Times New Roman" w:cs="Times New Roman"/>
          <w:b/>
          <w:sz w:val="28"/>
          <w:szCs w:val="28"/>
          <w:u w:val="single"/>
          <w:lang w:eastAsia="uk-UA"/>
        </w:rPr>
        <w:t>.</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нформації зазначається "00000".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інституційного сектору економіки контрагента/повʼязаної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зазначається "#".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140). Для контрагента/повʼязаної з банком особи – фізичної особи зазначається "9".</w:t>
      </w:r>
    </w:p>
    <w:p w:rsidR="00FB3F18" w:rsidRDefault="00FB3F18" w:rsidP="00FB3F18">
      <w:pPr>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w:t>
      </w:r>
      <w:proofErr w:type="spellStart"/>
      <w:r w:rsidR="00B704EE" w:rsidRPr="00B704EE">
        <w:rPr>
          <w:rFonts w:ascii="Times New Roman" w:eastAsia="Times New Roman" w:hAnsi="Times New Roman" w:cs="Times New Roman"/>
          <w:sz w:val="28"/>
          <w:szCs w:val="28"/>
          <w:lang w:eastAsia="uk-UA"/>
        </w:rPr>
        <w:t>файл</w:t>
      </w:r>
      <w:r w:rsidR="00B704EE">
        <w:rPr>
          <w:rFonts w:ascii="Times New Roman" w:eastAsia="Times New Roman" w:hAnsi="Times New Roman" w:cs="Times New Roman"/>
          <w:sz w:val="28"/>
          <w:szCs w:val="28"/>
          <w:lang w:eastAsia="uk-UA"/>
        </w:rPr>
        <w:t>а</w:t>
      </w:r>
      <w:proofErr w:type="spellEnd"/>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 xml:space="preserve">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w:t>
      </w:r>
      <w:r w:rsidR="0066183D" w:rsidRPr="0066183D">
        <w:rPr>
          <w:rFonts w:ascii="Times New Roman" w:eastAsia="Times New Roman" w:hAnsi="Times New Roman" w:cs="Times New Roman"/>
          <w:sz w:val="28"/>
          <w:szCs w:val="28"/>
          <w:lang w:eastAsia="uk-UA"/>
        </w:rPr>
        <w:lastRenderedPageBreak/>
        <w:t>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НРП Q003_1 набуває значення що складається з 11 символів та заповнюється наступним чином: перші 8 символів відповідають ідентифікаційному коду відповідно до Єдиного державного реєстру підприємств та організацій України (ЄДРПОУ) учасника КІП інформація про активні операції якого передається (якщо код містить менше 8 знаків, то цей код доповнюється до 8 знаків нулями зліва) та наступні (останні) 3 символи відповідають порядковому номеру групи контрагентів, що наявні в кредитному портфелі учасника КІП</w:t>
      </w:r>
      <w:r w:rsidR="00603E46" w:rsidRPr="00603E46">
        <w:rPr>
          <w:rFonts w:ascii="Times New Roman" w:hAnsi="Times New Roman" w:cs="Times New Roman"/>
          <w:bCs/>
          <w:sz w:val="28"/>
          <w:szCs w:val="28"/>
          <w:lang w:eastAsia="ru-RU"/>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r w:rsidR="00603E46"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8B3ED4" w:rsidRPr="00603E46" w:rsidRDefault="00311748" w:rsidP="008B3ED4">
      <w:pPr>
        <w:ind w:firstLine="709"/>
        <w:jc w:val="both"/>
        <w:rPr>
          <w:rFonts w:ascii="Times New Roman" w:eastAsia="Times New Roman" w:hAnsi="Times New Roman" w:cs="Times New Roman"/>
          <w:sz w:val="28"/>
          <w:szCs w:val="28"/>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r w:rsidR="000D7D18">
        <w:rPr>
          <w:rFonts w:eastAsia="Times New Roman"/>
        </w:rPr>
        <w:t xml:space="preserve">, </w:t>
      </w:r>
      <w:r w:rsidR="000D7D18" w:rsidRPr="00603E46">
        <w:rPr>
          <w:rFonts w:ascii="Times New Roman" w:eastAsia="Times New Roman" w:hAnsi="Times New Roman" w:cs="Times New Roman"/>
          <w:sz w:val="28"/>
          <w:szCs w:val="28"/>
        </w:rPr>
        <w:t>ідентифікаційний/реєстраційний код/номер контрагента/пов’язаної з учасником КІП особи.</w:t>
      </w:r>
    </w:p>
    <w:p w:rsidR="00311748" w:rsidRPr="00311748" w:rsidRDefault="00311748" w:rsidP="008B3ED4">
      <w:pPr>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w:t>
      </w:r>
      <w:r w:rsidR="000D7D18">
        <w:rPr>
          <w:rFonts w:eastAsia="Times New Roman"/>
          <w:color w:val="4472C4" w:themeColor="accent5"/>
        </w:rPr>
        <w:t xml:space="preserve"> </w:t>
      </w:r>
      <w:r w:rsidR="000D7D18" w:rsidRPr="00603E46">
        <w:rPr>
          <w:rFonts w:ascii="Times New Roman" w:eastAsia="Times New Roman" w:hAnsi="Times New Roman" w:cs="Times New Roman"/>
          <w:sz w:val="28"/>
          <w:szCs w:val="28"/>
        </w:rPr>
        <w:t xml:space="preserve">та у випадку коли </w:t>
      </w:r>
      <w:r w:rsidR="000D7D18" w:rsidRPr="00603E46">
        <w:rPr>
          <w:rFonts w:ascii="Times New Roman" w:hAnsi="Times New Roman" w:cs="Times New Roman"/>
          <w:bCs/>
          <w:sz w:val="28"/>
          <w:szCs w:val="28"/>
          <w:lang w:eastAsia="ru-RU"/>
        </w:rPr>
        <w:t>банк, як відповідальна особа банківської групи, надає інформацію про активні операції учасника КІП</w:t>
      </w:r>
      <w:r w:rsidR="000D7D18" w:rsidRPr="00603E46">
        <w:rPr>
          <w:rFonts w:eastAsia="Times New Roman"/>
        </w:rPr>
        <w:t xml:space="preserve">, </w:t>
      </w:r>
      <w:r w:rsidRPr="00311748">
        <w:rPr>
          <w:rFonts w:ascii="Times New Roman" w:eastAsia="Times New Roman" w:hAnsi="Times New Roman" w:cs="Times New Roman"/>
          <w:sz w:val="28"/>
          <w:szCs w:val="28"/>
          <w:lang w:eastAsia="uk-UA"/>
        </w:rPr>
        <w:t>в інших випадках НРП Q029 - не заповнюється.</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банком-резидентом, найменування зазначається згідно з Довідником банківських установ України RCUKRU (колонка “N</w:t>
      </w:r>
      <w:r w:rsidR="00696A02">
        <w:rPr>
          <w:rFonts w:ascii="Times New Roman" w:eastAsia="Times New Roman" w:hAnsi="Times New Roman" w:cs="Times New Roman"/>
          <w:sz w:val="28"/>
          <w:szCs w:val="28"/>
          <w:lang w:val="en-US" w:eastAsia="uk-UA"/>
        </w:rPr>
        <w:t>B</w:t>
      </w:r>
      <w:r w:rsidRPr="00A053AF">
        <w:rPr>
          <w:rFonts w:ascii="Times New Roman" w:eastAsia="Times New Roman" w:hAnsi="Times New Roman" w:cs="Times New Roman"/>
          <w:sz w:val="28"/>
          <w:szCs w:val="28"/>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r w:rsidR="00976060" w:rsidRPr="00580FC9">
        <w:rPr>
          <w:rFonts w:ascii="Times New Roman" w:eastAsia="Times New Roman" w:hAnsi="Times New Roman" w:cs="Times New Roman"/>
          <w:b/>
          <w:sz w:val="28"/>
          <w:szCs w:val="28"/>
          <w:u w:val="single"/>
          <w:lang w:eastAsia="uk-UA"/>
        </w:rPr>
        <w:t>.</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229B7" w:rsidRDefault="006229B7"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ідентифікаційний номер цінного папера (ISIN - 12 знаків) (за наявності)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6477B8">
        <w:rPr>
          <w:rFonts w:ascii="Times New Roman" w:eastAsia="Times New Roman" w:hAnsi="Times New Roman" w:cs="Times New Roman"/>
          <w:b/>
          <w:sz w:val="28"/>
          <w:szCs w:val="28"/>
          <w:u w:val="single"/>
          <w:lang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477B8" w:rsidRDefault="006477B8" w:rsidP="00554662">
      <w:pPr>
        <w:spacing w:after="0" w:line="240" w:lineRule="auto"/>
        <w:ind w:firstLine="709"/>
        <w:jc w:val="both"/>
        <w:rPr>
          <w:rFonts w:ascii="Times New Roman" w:eastAsia="Times New Roman" w:hAnsi="Times New Roman" w:cs="Times New Roman"/>
          <w:sz w:val="28"/>
          <w:szCs w:val="28"/>
          <w:lang w:eastAsia="uk-UA"/>
        </w:rPr>
      </w:pPr>
      <w:r w:rsidRPr="006477B8">
        <w:rPr>
          <w:rFonts w:ascii="Times New Roman" w:eastAsia="Times New Roman" w:hAnsi="Times New Roman" w:cs="Times New Roman"/>
          <w:b/>
          <w:sz w:val="28"/>
          <w:szCs w:val="28"/>
          <w:lang w:eastAsia="uk-UA"/>
        </w:rPr>
        <w:t>Показник з метрикою T070_3</w:t>
      </w:r>
      <w:r w:rsidRPr="006477B8">
        <w:rPr>
          <w:rFonts w:ascii="Times New Roman" w:eastAsia="Times New Roman" w:hAnsi="Times New Roman" w:cs="Times New Roman"/>
          <w:sz w:val="28"/>
          <w:szCs w:val="28"/>
          <w:lang w:eastAsia="uk-UA"/>
        </w:rPr>
        <w:t xml:space="preserve"> − зазначається сума отриманої банком винагороди, на яку зменшується сума наданого фінансового зобов’язання для визначення розміру експозиції під ризиком (EAD) згідно з Положенням № 351.</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t>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S080_1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S080_2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F074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За активними банківськими операціями, за якими не здійснюється оцінка кредитного ризику відповідно до Положення № 351, за параметром F077 зазначається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параметром F078 зазначається "#".</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супутній Параметр F037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CC20D9" w:rsidRDefault="00CC20D9" w:rsidP="00BD46CE">
      <w:pPr>
        <w:spacing w:after="0" w:line="240" w:lineRule="auto"/>
        <w:ind w:firstLine="709"/>
        <w:contextualSpacing/>
        <w:jc w:val="both"/>
        <w:rPr>
          <w:rFonts w:ascii="Times New Roman" w:eastAsia="Times New Roman" w:hAnsi="Times New Roman" w:cs="Times New Roman"/>
          <w:sz w:val="28"/>
          <w:szCs w:val="28"/>
          <w:lang w:eastAsia="uk-UA"/>
        </w:rPr>
      </w:pPr>
    </w:p>
    <w:p w:rsidR="00CC20D9" w:rsidRPr="00526641" w:rsidRDefault="00CC20D9" w:rsidP="00CC20D9">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міжнародним стандартом фінансової звітності 9 "Фінансові інструменти"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w:t>
      </w:r>
      <w:r w:rsidRPr="00580FC9">
        <w:rPr>
          <w:rFonts w:ascii="Times New Roman" w:eastAsia="Times New Roman" w:hAnsi="Times New Roman" w:cs="Times New Roman"/>
          <w:sz w:val="28"/>
          <w:szCs w:val="28"/>
          <w:lang w:eastAsia="uk-UA"/>
        </w:rPr>
        <w:lastRenderedPageBreak/>
        <w:t xml:space="preserve">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w:t>
      </w:r>
      <w:proofErr w:type="spellStart"/>
      <w:r w:rsidRPr="00580FC9">
        <w:rPr>
          <w:rFonts w:ascii="Times New Roman" w:eastAsia="Times New Roman" w:hAnsi="Times New Roman" w:cs="Times New Roman"/>
          <w:sz w:val="28"/>
          <w:szCs w:val="28"/>
          <w:lang w:eastAsia="uk-UA"/>
        </w:rPr>
        <w:t>знака</w:t>
      </w:r>
      <w:proofErr w:type="spellEnd"/>
      <w:r w:rsidRPr="00580FC9">
        <w:rPr>
          <w:rFonts w:ascii="Times New Roman" w:eastAsia="Times New Roman" w:hAnsi="Times New Roman" w:cs="Times New Roman"/>
          <w:sz w:val="28"/>
          <w:szCs w:val="28"/>
          <w:lang w:eastAsia="uk-UA"/>
        </w:rPr>
        <w:t xml:space="preserve">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0D7D18" w:rsidRPr="00580FC9" w:rsidRDefault="000D7D18"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дата виникнення заборгованості контрагента/пов’язаної з банком особи або наданих банком фінансових зобов’язань щодо контрагента/повʼязаної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proofErr w:type="spellStart"/>
      <w:r w:rsidRPr="00580FC9">
        <w:rPr>
          <w:rFonts w:ascii="Times New Roman" w:eastAsia="Times New Roman" w:hAnsi="Times New Roman" w:cs="Times New Roman"/>
          <w:sz w:val="28"/>
          <w:szCs w:val="28"/>
          <w:lang w:eastAsia="uk-UA"/>
        </w:rPr>
        <w:t>зобовʼязань</w:t>
      </w:r>
      <w:proofErr w:type="spellEnd"/>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lastRenderedPageBreak/>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Pr="00A0324C">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w:t>
      </w:r>
      <w:r w:rsidRPr="00A22B7E">
        <w:rPr>
          <w:rFonts w:ascii="Times New Roman" w:eastAsia="Times New Roman" w:hAnsi="Times New Roman" w:cs="Times New Roman"/>
          <w:sz w:val="28"/>
          <w:szCs w:val="28"/>
          <w:lang w:eastAsia="uk-UA"/>
        </w:rPr>
        <w:lastRenderedPageBreak/>
        <w:t xml:space="preserve">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w:t>
      </w:r>
      <w:proofErr w:type="spellStart"/>
      <w:r>
        <w:rPr>
          <w:rFonts w:ascii="Times New Roman" w:eastAsia="Times New Roman" w:hAnsi="Times New Roman" w:cs="Times New Roman"/>
          <w:sz w:val="28"/>
          <w:szCs w:val="28"/>
          <w:lang w:eastAsia="uk-UA"/>
        </w:rPr>
        <w:t>зобов</w:t>
      </w:r>
      <w:proofErr w:type="spellEnd"/>
      <w:r w:rsidRPr="00655B09">
        <w:rPr>
          <w:rFonts w:ascii="Times New Roman" w:eastAsia="Times New Roman" w:hAnsi="Times New Roman" w:cs="Times New Roman"/>
          <w:sz w:val="28"/>
          <w:szCs w:val="28"/>
          <w:lang w:val="ru-RU" w:eastAsia="uk-UA"/>
        </w:rPr>
        <w:t>’</w:t>
      </w:r>
      <w:proofErr w:type="spellStart"/>
      <w:r>
        <w:rPr>
          <w:rFonts w:ascii="Times New Roman" w:eastAsia="Times New Roman" w:hAnsi="Times New Roman" w:cs="Times New Roman"/>
          <w:sz w:val="28"/>
          <w:szCs w:val="28"/>
          <w:lang w:eastAsia="uk-UA"/>
        </w:rPr>
        <w:t>язаннями</w:t>
      </w:r>
      <w:proofErr w:type="spellEnd"/>
      <w:r>
        <w:rPr>
          <w:rFonts w:ascii="Times New Roman" w:eastAsia="Times New Roman" w:hAnsi="Times New Roman" w:cs="Times New Roman"/>
          <w:sz w:val="28"/>
          <w:szCs w:val="28"/>
          <w:lang w:eastAsia="uk-UA"/>
        </w:rPr>
        <w:t>.</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0D7D18" w:rsidRPr="00603E46" w:rsidRDefault="000D7D18" w:rsidP="000D7D18">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0D7D18" w:rsidRPr="00603E46" w:rsidRDefault="000D7D18" w:rsidP="000D7D18">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351993" w:rsidRPr="00603E46"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351993" w:rsidRPr="00351993"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5E2A44">
      <w:pPr>
        <w:spacing w:after="0" w:line="240" w:lineRule="auto"/>
        <w:ind w:firstLine="709"/>
        <w:jc w:val="both"/>
        <w:rPr>
          <w:rFonts w:ascii="Times New Roman" w:eastAsia="Times New Roman" w:hAnsi="Times New Roman" w:cs="Times New Roman"/>
          <w:b/>
          <w:sz w:val="28"/>
          <w:szCs w:val="28"/>
          <w:lang w:val="ru-RU"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5E2A44">
      <w:pPr>
        <w:spacing w:after="0" w:line="240" w:lineRule="auto"/>
        <w:ind w:firstLine="709"/>
        <w:jc w:val="both"/>
        <w:rPr>
          <w:rFonts w:ascii="Times New Roman" w:eastAsia="Times New Roman" w:hAnsi="Times New Roman" w:cs="Times New Roman"/>
          <w:sz w:val="28"/>
          <w:szCs w:val="28"/>
          <w:lang w:val="ru-RU"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8B3ED4" w:rsidRPr="005E2A44" w:rsidRDefault="008B3ED4" w:rsidP="005E2A44">
      <w:pPr>
        <w:spacing w:after="0" w:line="240" w:lineRule="auto"/>
        <w:ind w:firstLine="709"/>
        <w:jc w:val="both"/>
        <w:rPr>
          <w:rFonts w:ascii="Times New Roman" w:eastAsia="Times New Roman" w:hAnsi="Times New Roman" w:cs="Times New Roman"/>
          <w:sz w:val="28"/>
          <w:szCs w:val="28"/>
          <w:lang w:eastAsia="uk-UA"/>
        </w:rPr>
      </w:pPr>
    </w:p>
    <w:p w:rsidR="00834337" w:rsidRDefault="00834337" w:rsidP="0037796D">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r w:rsidR="00AF3090">
        <w:rPr>
          <w:rFonts w:ascii="Times New Roman" w:eastAsia="Times New Roman" w:hAnsi="Times New Roman" w:cs="Times New Roman"/>
          <w:b/>
          <w:sz w:val="28"/>
          <w:szCs w:val="28"/>
          <w:u w:val="single"/>
          <w:lang w:val="ru-RU"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w:t>
      </w:r>
      <w:r w:rsidRPr="005E2A44">
        <w:rPr>
          <w:rFonts w:ascii="Times New Roman" w:eastAsia="Times New Roman" w:hAnsi="Times New Roman" w:cs="Times New Roman"/>
          <w:sz w:val="28"/>
          <w:szCs w:val="28"/>
          <w:lang w:eastAsia="uk-UA"/>
        </w:rPr>
        <w:lastRenderedPageBreak/>
        <w:t xml:space="preserve">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банк має присвоїти умовний </w:t>
      </w:r>
      <w:r w:rsidRPr="00603E46">
        <w:rPr>
          <w:rFonts w:ascii="Times New Roman" w:hAnsi="Times New Roman" w:cs="Times New Roman"/>
          <w:bCs/>
          <w:sz w:val="28"/>
          <w:szCs w:val="28"/>
          <w:lang w:eastAsia="ru-RU"/>
        </w:rPr>
        <w:lastRenderedPageBreak/>
        <w:t>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Pr="008B3ED4"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D75BE1" w:rsidRDefault="00D75BE1" w:rsidP="00091A7B">
      <w:pPr>
        <w:spacing w:after="0" w:line="240" w:lineRule="auto"/>
        <w:ind w:firstLine="709"/>
        <w:jc w:val="both"/>
        <w:rPr>
          <w:rFonts w:ascii="Times New Roman" w:eastAsia="Times New Roman" w:hAnsi="Times New Roman" w:cs="Times New Roman"/>
          <w:sz w:val="28"/>
          <w:szCs w:val="28"/>
          <w:lang w:eastAsia="uk-UA"/>
        </w:rPr>
      </w:pP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9A7A47" w:rsidRPr="00603E46" w:rsidRDefault="009A7A47"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603E46" w:rsidRDefault="009A7A47" w:rsidP="009A7A47">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9A7A47"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D26930" w:rsidRPr="00AF3090">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w:t>
      </w:r>
      <w:r w:rsidRPr="00AF3090">
        <w:rPr>
          <w:rFonts w:ascii="Times New Roman" w:eastAsia="Times New Roman" w:hAnsi="Times New Roman" w:cs="Times New Roman"/>
          <w:sz w:val="28"/>
          <w:szCs w:val="28"/>
          <w:lang w:eastAsia="uk-UA"/>
        </w:rPr>
        <w:lastRenderedPageBreak/>
        <w:t>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r w:rsidR="00603E46" w:rsidRPr="005E2A44">
        <w:rPr>
          <w:rFonts w:ascii="Times New Roman" w:eastAsia="Times New Roman" w:hAnsi="Times New Roman" w:cs="Times New Roman"/>
          <w:sz w:val="28"/>
          <w:szCs w:val="28"/>
          <w:lang w:eastAsia="uk-UA"/>
        </w:rPr>
        <w:t>пов’язаної</w:t>
      </w:r>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w:t>
      </w:r>
      <w:r w:rsidRPr="00603E46">
        <w:rPr>
          <w:rFonts w:ascii="Times New Roman" w:hAnsi="Times New Roman" w:cs="Times New Roman"/>
          <w:bCs/>
          <w:sz w:val="28"/>
          <w:szCs w:val="28"/>
          <w:lang w:eastAsia="ru-RU"/>
        </w:rPr>
        <w:lastRenderedPageBreak/>
        <w:t>10 знаків та мати таку структуру: GNNNNNNNNN (наприклад, G000000001) та бути єдиним для цілей складання статистичної звітності.</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603E46"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824C3E" w:rsidRDefault="00824C3E"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21780B" w:rsidRDefault="0021780B"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lastRenderedPageBreak/>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824C3E">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Pr="00C93600" w:rsidRDefault="008B3ED4" w:rsidP="00D43678">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E7053F" w:rsidRPr="00C93600">
        <w:rPr>
          <w:rFonts w:ascii="Times New Roman" w:hAnsi="Times New Roman" w:cs="Times New Roman"/>
          <w:bCs/>
          <w:sz w:val="28"/>
          <w:szCs w:val="28"/>
          <w:lang w:val="ru-RU" w:eastAsia="ru-RU"/>
        </w:rPr>
        <w:t>.</w:t>
      </w:r>
    </w:p>
    <w:p w:rsidR="00824C3E" w:rsidRPr="00C93600" w:rsidRDefault="00824C3E"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D43678" w:rsidRPr="00824C3E" w:rsidRDefault="00D43678" w:rsidP="00D43678">
      <w:pPr>
        <w:spacing w:after="0" w:line="240" w:lineRule="auto"/>
        <w:ind w:firstLine="709"/>
        <w:jc w:val="both"/>
        <w:rPr>
          <w:rFonts w:ascii="Times New Roman" w:eastAsia="Times New Roman" w:hAnsi="Times New Roman" w:cs="Times New Roman"/>
          <w:sz w:val="28"/>
          <w:szCs w:val="28"/>
          <w:lang w:val="ru-RU"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515960" w:rsidRDefault="00515960" w:rsidP="00D43678">
      <w:pPr>
        <w:spacing w:after="0" w:line="240" w:lineRule="auto"/>
        <w:ind w:left="709"/>
        <w:jc w:val="center"/>
        <w:rPr>
          <w:rFonts w:ascii="Times New Roman" w:eastAsia="Times New Roman" w:hAnsi="Times New Roman" w:cs="Times New Roman"/>
          <w:b/>
          <w:sz w:val="28"/>
          <w:szCs w:val="28"/>
          <w:u w:val="single"/>
          <w:lang w:eastAsia="uk-UA"/>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C93600" w:rsidRDefault="009A7A47" w:rsidP="009A7A47">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9A7A47"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виду забезпечення кредитної операції за договором, набуває значення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640D8C">
        <w:rPr>
          <w:rFonts w:ascii="Times New Roman" w:eastAsia="Times New Roman" w:hAnsi="Times New Roman" w:cs="Times New Roman"/>
          <w:sz w:val="28"/>
          <w:szCs w:val="28"/>
          <w:lang w:eastAsia="uk-UA"/>
        </w:rPr>
        <w:lastRenderedPageBreak/>
        <w:t xml:space="preserve">відповідно до Положення № 351, і код 90 "без забезпечення (бланковий)"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57436E" w:rsidRPr="0057436E">
        <w:rPr>
          <w:rFonts w:ascii="Times New Roman" w:eastAsia="Times New Roman" w:hAnsi="Times New Roman" w:cs="Times New Roman"/>
          <w:sz w:val="28"/>
          <w:szCs w:val="28"/>
          <w:lang w:eastAsia="uk-UA"/>
        </w:rPr>
        <w:t>"без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w:t>
      </w:r>
      <w:r w:rsidRPr="00640D8C">
        <w:rPr>
          <w:rFonts w:ascii="Times New Roman" w:eastAsia="Times New Roman" w:hAnsi="Times New Roman" w:cs="Times New Roman"/>
          <w:sz w:val="28"/>
          <w:szCs w:val="28"/>
          <w:lang w:eastAsia="uk-UA"/>
        </w:rPr>
        <w:lastRenderedPageBreak/>
        <w:t xml:space="preserve">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9A7A47" w:rsidRPr="00C93600" w:rsidRDefault="009A7A47" w:rsidP="00640D8C">
      <w:pPr>
        <w:spacing w:after="0" w:line="240" w:lineRule="auto"/>
        <w:ind w:firstLine="709"/>
        <w:jc w:val="both"/>
        <w:rPr>
          <w:rFonts w:ascii="Times New Roman" w:eastAsia="Times New Roman" w:hAnsi="Times New Roman" w:cs="Times New Roman"/>
          <w:b/>
          <w:sz w:val="28"/>
          <w:szCs w:val="28"/>
          <w:lang w:val="ru-RU"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Pr="0057436E">
        <w:rPr>
          <w:rFonts w:ascii="Times New Roman" w:eastAsia="Times New Roman" w:hAnsi="Times New Roman" w:cs="Times New Roman"/>
          <w:sz w:val="28"/>
          <w:szCs w:val="28"/>
          <w:lang w:eastAsia="uk-UA"/>
        </w:rPr>
        <w:t>"розріз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E168C3" w:rsidRDefault="00640D8C"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r w:rsidRPr="00580FC9">
        <w:rPr>
          <w:rFonts w:ascii="Times New Roman" w:eastAsia="Times New Roman" w:hAnsi="Times New Roman" w:cs="Times New Roman"/>
          <w:b/>
          <w:sz w:val="28"/>
          <w:szCs w:val="28"/>
          <w:u w:val="single"/>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824C3E">
      <w:pPr>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"без забезпечення (бланковий)"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кредитна операція здійснена без забезпечення, то зазначається код 90 "без забезпечення (бланковий)".</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код # "розріз відсутній".</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D82FD4" w:rsidRPr="0057436E">
        <w:rPr>
          <w:rFonts w:ascii="Times New Roman" w:eastAsia="Times New Roman" w:hAnsi="Times New Roman" w:cs="Times New Roman"/>
          <w:sz w:val="28"/>
          <w:szCs w:val="28"/>
          <w:lang w:eastAsia="uk-UA"/>
        </w:rPr>
        <w:t>розріз відсутній</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lastRenderedPageBreak/>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BE57EA" w:rsidRDefault="00BE57EA" w:rsidP="00640D8C">
      <w:pPr>
        <w:spacing w:after="0" w:line="240" w:lineRule="auto"/>
        <w:ind w:left="709"/>
        <w:jc w:val="center"/>
        <w:rPr>
          <w:rFonts w:ascii="Times New Roman" w:eastAsia="Times New Roman" w:hAnsi="Times New Roman" w:cs="Times New Roman"/>
          <w:b/>
          <w:sz w:val="28"/>
          <w:szCs w:val="28"/>
          <w:u w:val="single"/>
          <w:lang w:val="ru-RU"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w:t>
      </w:r>
      <w:proofErr w:type="spellStart"/>
      <w:r w:rsidR="009C32E2">
        <w:rPr>
          <w:rFonts w:ascii="Times New Roman" w:eastAsia="Times New Roman" w:hAnsi="Times New Roman" w:cs="Times New Roman"/>
          <w:sz w:val="28"/>
          <w:szCs w:val="28"/>
          <w:lang w:eastAsia="uk-UA"/>
        </w:rPr>
        <w:t>файла</w:t>
      </w:r>
      <w:proofErr w:type="spellEnd"/>
      <w:r w:rsidR="009C32E2">
        <w:rPr>
          <w:rFonts w:ascii="Times New Roman" w:eastAsia="Times New Roman" w:hAnsi="Times New Roman" w:cs="Times New Roman"/>
          <w:sz w:val="28"/>
          <w:szCs w:val="28"/>
          <w:lang w:eastAsia="uk-UA"/>
        </w:rPr>
        <w:t xml:space="preserve">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6C36"/>
    <w:rsid w:val="000C4C35"/>
    <w:rsid w:val="000C58A6"/>
    <w:rsid w:val="000D1E94"/>
    <w:rsid w:val="000D7D18"/>
    <w:rsid w:val="000E1C20"/>
    <w:rsid w:val="000E4103"/>
    <w:rsid w:val="000F0EAA"/>
    <w:rsid w:val="000F6780"/>
    <w:rsid w:val="000F7563"/>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3851"/>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6717"/>
    <w:rsid w:val="004E149A"/>
    <w:rsid w:val="004E2E62"/>
    <w:rsid w:val="004E308A"/>
    <w:rsid w:val="004E54F1"/>
    <w:rsid w:val="004E60F6"/>
    <w:rsid w:val="004E704C"/>
    <w:rsid w:val="004E7696"/>
    <w:rsid w:val="004F0611"/>
    <w:rsid w:val="004F12D3"/>
    <w:rsid w:val="004F6BBE"/>
    <w:rsid w:val="00506E31"/>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03E46"/>
    <w:rsid w:val="006121EC"/>
    <w:rsid w:val="006135DF"/>
    <w:rsid w:val="00613E69"/>
    <w:rsid w:val="00616D24"/>
    <w:rsid w:val="00617DC7"/>
    <w:rsid w:val="00622667"/>
    <w:rsid w:val="006229B7"/>
    <w:rsid w:val="00640D8C"/>
    <w:rsid w:val="00644D8E"/>
    <w:rsid w:val="006477B8"/>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45075"/>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4C3E"/>
    <w:rsid w:val="00826DB8"/>
    <w:rsid w:val="00831344"/>
    <w:rsid w:val="00834337"/>
    <w:rsid w:val="00841164"/>
    <w:rsid w:val="00851755"/>
    <w:rsid w:val="00851A99"/>
    <w:rsid w:val="00852C87"/>
    <w:rsid w:val="00861A2C"/>
    <w:rsid w:val="00862872"/>
    <w:rsid w:val="00864020"/>
    <w:rsid w:val="00867DC2"/>
    <w:rsid w:val="00873AAE"/>
    <w:rsid w:val="008768DD"/>
    <w:rsid w:val="00877BBA"/>
    <w:rsid w:val="008802C3"/>
    <w:rsid w:val="0088213B"/>
    <w:rsid w:val="008821B5"/>
    <w:rsid w:val="00882929"/>
    <w:rsid w:val="00885CF4"/>
    <w:rsid w:val="0088742D"/>
    <w:rsid w:val="0089527B"/>
    <w:rsid w:val="008A2660"/>
    <w:rsid w:val="008A7BF1"/>
    <w:rsid w:val="008B3ED4"/>
    <w:rsid w:val="008C3577"/>
    <w:rsid w:val="008C6817"/>
    <w:rsid w:val="008E1CBC"/>
    <w:rsid w:val="008F257B"/>
    <w:rsid w:val="00900790"/>
    <w:rsid w:val="00901C19"/>
    <w:rsid w:val="00914DEA"/>
    <w:rsid w:val="0091794F"/>
    <w:rsid w:val="009201A2"/>
    <w:rsid w:val="009214FA"/>
    <w:rsid w:val="00923431"/>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A7A47"/>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15DF4"/>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18E8"/>
    <w:rsid w:val="00B557B6"/>
    <w:rsid w:val="00B57C00"/>
    <w:rsid w:val="00B704EE"/>
    <w:rsid w:val="00B74336"/>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3715"/>
    <w:rsid w:val="00C93600"/>
    <w:rsid w:val="00C976B1"/>
    <w:rsid w:val="00CA2221"/>
    <w:rsid w:val="00CA4D65"/>
    <w:rsid w:val="00CA539A"/>
    <w:rsid w:val="00CB0BDF"/>
    <w:rsid w:val="00CB11C8"/>
    <w:rsid w:val="00CB5760"/>
    <w:rsid w:val="00CB5E6D"/>
    <w:rsid w:val="00CC20D9"/>
    <w:rsid w:val="00CC3FB2"/>
    <w:rsid w:val="00CD61E1"/>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579D"/>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168C3"/>
    <w:rsid w:val="00E23DB5"/>
    <w:rsid w:val="00E31FC7"/>
    <w:rsid w:val="00E33A16"/>
    <w:rsid w:val="00E40070"/>
    <w:rsid w:val="00E41F99"/>
    <w:rsid w:val="00E422BE"/>
    <w:rsid w:val="00E45B7C"/>
    <w:rsid w:val="00E55A39"/>
    <w:rsid w:val="00E61958"/>
    <w:rsid w:val="00E636BC"/>
    <w:rsid w:val="00E643BE"/>
    <w:rsid w:val="00E6594C"/>
    <w:rsid w:val="00E7053F"/>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16FBB"/>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DE8B-F673-4566-975C-F9869E9EC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56021</Words>
  <Characters>31932</Characters>
  <Application>Microsoft Office Word</Application>
  <DocSecurity>0</DocSecurity>
  <Lines>266</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2024-08-23T06:25:00Z</dcterms:created>
  <dcterms:modified xsi:type="dcterms:W3CDTF">2024-08-23T06:25:00Z</dcterms:modified>
</cp:coreProperties>
</file>