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4C780" w14:textId="329DB225" w:rsidR="005666BC" w:rsidRPr="00412701" w:rsidRDefault="00690481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666BC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3653AB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5666BC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2FC64481" w14:textId="79990E87" w:rsidR="005666BC" w:rsidRPr="00412701" w:rsidRDefault="005666BC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IRB</w:t>
      </w:r>
      <w:r w:rsidR="008369DC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0001-IRB</w:t>
      </w:r>
      <w:r w:rsidR="006F65B6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3653AB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511F8E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13654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643EDBE2" w14:textId="7E47EC55" w:rsidR="005666BC" w:rsidRPr="00412701" w:rsidRDefault="005666BC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B97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RB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 «Дані регуляторного балансу</w:t>
      </w:r>
      <w:r w:rsidR="008369D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Зобов'язання та забезпечення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5A8650D4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6DD7CC26" w14:textId="5588CBB6" w:rsidR="008369DC" w:rsidRPr="00412701" w:rsidRDefault="008369DC" w:rsidP="00A747A3">
      <w:pPr>
        <w:pStyle w:val="a3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910270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бухгалтерського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обліку </w:t>
      </w:r>
      <w:r w:rsidR="00531721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обліку зобов’язань та забезпечень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міжнародних стандартів фінансової звітності</w:t>
      </w:r>
      <w:r w:rsidR="00511F8E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47A3" w:rsidRPr="00412701">
        <w:rPr>
          <w:rFonts w:ascii="Times New Roman" w:hAnsi="Times New Roman" w:cs="Times New Roman"/>
          <w:sz w:val="28"/>
          <w:szCs w:val="28"/>
          <w:lang w:eastAsia="uk-UA"/>
        </w:rPr>
        <w:t xml:space="preserve">з урахуванням вимог </w:t>
      </w:r>
      <w:r w:rsidR="00907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07F67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Положення про встановлення вимог щодо забезпечення платоспроможності та інвестиційної діяльності страховика, затверджене постановою Правління Національного банку від 29.12.2023 № 201 (зі змінами), </w:t>
      </w:r>
      <w:r w:rsidR="00907F67" w:rsidRPr="00DE6D56">
        <w:rPr>
          <w:rStyle w:val="spanrvts0"/>
          <w:rFonts w:eastAsiaTheme="minorHAnsi"/>
          <w:sz w:val="28"/>
          <w:szCs w:val="28"/>
          <w:lang w:val="uk" w:eastAsia="uk"/>
        </w:rPr>
        <w:t xml:space="preserve">Положення про порядок формування страховиками технічних резервів затвердженого  постановою </w:t>
      </w:r>
      <w:r w:rsidR="00907F67" w:rsidRPr="00DE6D56">
        <w:rPr>
          <w:rFonts w:ascii="Times New Roman" w:hAnsi="Times New Roman" w:cs="Times New Roman"/>
          <w:sz w:val="28"/>
          <w:szCs w:val="28"/>
        </w:rPr>
        <w:t>Правління Національного банку від 29</w:t>
      </w:r>
      <w:r w:rsidR="000604DA">
        <w:rPr>
          <w:rFonts w:ascii="Times New Roman" w:hAnsi="Times New Roman" w:cs="Times New Roman"/>
          <w:sz w:val="28"/>
          <w:szCs w:val="28"/>
        </w:rPr>
        <w:t>.12.</w:t>
      </w:r>
      <w:r w:rsidR="00907F67" w:rsidRPr="00DE6D56">
        <w:rPr>
          <w:rFonts w:ascii="Times New Roman" w:hAnsi="Times New Roman" w:cs="Times New Roman"/>
          <w:sz w:val="28"/>
          <w:szCs w:val="28"/>
        </w:rPr>
        <w:t>2023 № 203</w:t>
      </w:r>
      <w:r w:rsidR="000604DA">
        <w:rPr>
          <w:rFonts w:ascii="Times New Roman" w:hAnsi="Times New Roman" w:cs="Times New Roman"/>
          <w:sz w:val="28"/>
          <w:szCs w:val="28"/>
        </w:rPr>
        <w:t xml:space="preserve"> </w:t>
      </w:r>
      <w:r w:rsidR="000604DA" w:rsidRPr="00DE6D56">
        <w:rPr>
          <w:rFonts w:ascii="Times New Roman" w:hAnsi="Times New Roman" w:cs="Times New Roman"/>
          <w:sz w:val="28"/>
          <w:szCs w:val="28"/>
          <w:lang w:eastAsia="uk-UA"/>
        </w:rPr>
        <w:t>(зі змінами)</w:t>
      </w:r>
      <w:r w:rsidR="00907F67" w:rsidRPr="00DE6D56">
        <w:rPr>
          <w:rFonts w:ascii="Times New Roman" w:hAnsi="Times New Roman" w:cs="Times New Roman"/>
          <w:sz w:val="28"/>
          <w:szCs w:val="28"/>
        </w:rPr>
        <w:t xml:space="preserve">,  </w:t>
      </w:r>
      <w:r w:rsidR="00907F67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про визначення методики оцінки активів і зобов’язань для цілей розрахунку регулятивного капіталу страховика, затвердженого  постановою Правління Національного банку України від 21.06.2024 № 71 (зі змінами) </w:t>
      </w:r>
      <w:r w:rsidR="00A747A3" w:rsidRPr="00412701">
        <w:rPr>
          <w:rFonts w:ascii="Times New Roman" w:hAnsi="Times New Roman" w:cs="Times New Roman"/>
          <w:sz w:val="28"/>
          <w:szCs w:val="28"/>
          <w:lang w:eastAsia="uk-UA"/>
        </w:rPr>
        <w:t>та інших нормативно-правових актів Національного банку України з питань регулювання страхової діяльності.</w:t>
      </w:r>
      <w:r w:rsidR="00660A7D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подаються наростаючим підсумком з початку з</w:t>
      </w:r>
      <w:r w:rsidR="006036D3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вітного року. </w:t>
      </w:r>
    </w:p>
    <w:p w14:paraId="6E2F5B2D" w14:textId="5B4649D7" w:rsidR="006F65B6" w:rsidRDefault="008369DC" w:rsidP="006F65B6">
      <w:pPr>
        <w:pStyle w:val="a3"/>
        <w:numPr>
          <w:ilvl w:val="0"/>
          <w:numId w:val="1"/>
        </w:numPr>
        <w:spacing w:after="12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подаються </w:t>
      </w:r>
      <w:r w:rsidRPr="00412701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</w:t>
      </w:r>
      <w:r w:rsidR="006036D3" w:rsidRPr="00412701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hAnsi="Times New Roman" w:cs="Times New Roman"/>
          <w:sz w:val="28"/>
          <w:szCs w:val="28"/>
          <w:lang w:eastAsia="uk-UA"/>
        </w:rPr>
        <w:t>установленим Національним банком</w:t>
      </w:r>
      <w:r w:rsidR="007E4146" w:rsidRPr="0041270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E414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54A599" w14:textId="7062F721" w:rsidR="00875FD9" w:rsidRDefault="003327AB" w:rsidP="00875FD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6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28BA8A1" w14:textId="77777777" w:rsidR="00875FD9" w:rsidRPr="006703FC" w:rsidRDefault="00875FD9" w:rsidP="00875FD9">
      <w:pPr>
        <w:pStyle w:val="a3"/>
        <w:spacing w:after="12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ACA7E7" w14:textId="2627C1F6" w:rsidR="006F65B6" w:rsidRPr="003327AB" w:rsidRDefault="006F65B6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C82A5E" w14:textId="1632322A" w:rsidR="005666BC" w:rsidRPr="00412701" w:rsidRDefault="005666BC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IRB3</w:t>
      </w:r>
    </w:p>
    <w:p w14:paraId="1EBB2A29" w14:textId="77777777" w:rsidR="006F65B6" w:rsidRPr="00412701" w:rsidRDefault="006F65B6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E5F8C" w14:textId="77777777" w:rsidR="005666BC" w:rsidRPr="00412701" w:rsidRDefault="005666BC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</w:p>
    <w:p w14:paraId="59743A07" w14:textId="39B22762" w:rsidR="005666BC" w:rsidRPr="00412701" w:rsidRDefault="005666BC" w:rsidP="007564E5">
      <w:pPr>
        <w:pStyle w:val="1"/>
        <w:numPr>
          <w:ilvl w:val="0"/>
          <w:numId w:val="2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8369D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30001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7564E5" w:rsidRPr="007564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Зобов’язання з оренди відповідно до Міжнародного стандарту </w:t>
      </w:r>
      <w:r w:rsidR="007564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фінансової звітності 16 </w:t>
      </w:r>
      <w:r w:rsidR="007564E5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7564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Оренда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AE2F2EA" w14:textId="601F0039" w:rsidR="005666BC" w:rsidRPr="00412701" w:rsidRDefault="005666BC" w:rsidP="006F65B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F65B6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4F8DD9B7" w14:textId="25E74B83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F65B6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оренди, визначених відповідно до МСФЗ 16 «Оренда»,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0FE6321A" w14:textId="77777777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оренди, визначених відповідно до МСФЗ 16 «Оренда»,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0D1CC326" w14:textId="6D4E7570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="007564E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Н011), набуває значення відсутності розрізу (= #).</w:t>
      </w:r>
    </w:p>
    <w:p w14:paraId="23774905" w14:textId="77777777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23911D8" w14:textId="2E123005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526E5AD1" w14:textId="77777777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E9EEB79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9731F2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63DE18" w14:textId="2F2E0C4B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2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Технічні 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резерви»</w:t>
      </w:r>
    </w:p>
    <w:p w14:paraId="294BF5A5" w14:textId="7C588DD5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21B73E3" w14:textId="6332E9F8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proofErr w:type="spellStart"/>
      <w:r w:rsidR="0068431A" w:rsidRPr="004127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технічних</w:t>
      </w:r>
      <w:proofErr w:type="spellEnd"/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договорами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прямого страхування та в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хідного перестрахування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8431A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сформованих відповідно 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нормативно-правового </w:t>
      </w:r>
      <w:proofErr w:type="spellStart"/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банку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щодо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резервів, на початок звітного періоду.</w:t>
      </w:r>
      <w:r w:rsidR="0068431A" w:rsidRPr="00412701">
        <w:t xml:space="preserve"> </w:t>
      </w:r>
      <w:r w:rsidRPr="00412701">
        <w:t xml:space="preserve"> </w:t>
      </w:r>
    </w:p>
    <w:p w14:paraId="5239A71A" w14:textId="7DE5ACD0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технічних резервів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договорами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прямого страхування та в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хідного перестрахування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сформованих відповідно 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нормативно-правового </w:t>
      </w:r>
      <w:proofErr w:type="spellStart"/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 банку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68431A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резервів, на кінець звітного періоду.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8CC6FE8" w14:textId="5857AF22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не повинен дорівнювати значенню відсутності розрізу (≠ #). </w:t>
      </w:r>
    </w:p>
    <w:p w14:paraId="6B0AD9C3" w14:textId="4C1B8B9B" w:rsidR="003653AB" w:rsidRDefault="005666BC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</w:t>
      </w:r>
      <w:r w:rsidR="003653AB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7186915D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значень:</w:t>
      </w:r>
    </w:p>
    <w:p w14:paraId="52838396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04, 07, 08, 11 – незалежно від обраних страховиком моделі/методу/метрики розрахунку відповідного виду технічних резервів, для цих кодів виду резервів заповнення значень є обов’язковим;</w:t>
      </w:r>
    </w:p>
    <w:p w14:paraId="1A5BF36D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03, 10 – для загальної моделі оцінки резерву премій;</w:t>
      </w:r>
    </w:p>
    <w:p w14:paraId="54965F95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05, 06 – для спрощеної моделі оцінки резерву премій;</w:t>
      </w:r>
    </w:p>
    <w:p w14:paraId="27DDBFCE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14 – для спрощеної моделі оцінки резерву премій для груп обтяжливих договорів;</w:t>
      </w:r>
    </w:p>
    <w:p w14:paraId="0114122A" w14:textId="1C9D637F" w:rsidR="0053768A" w:rsidRPr="007A5822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09, 17 – якщо такий розріз може бути відділений окремо від інших видів технічних резервів у складі резерву збитків, водночас інші види технічних резервів у складі резерву збитків розкриваються у звітності 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09, 17;</w:t>
      </w:r>
    </w:p>
    <w:p w14:paraId="7A097DF1" w14:textId="77777777" w:rsidR="0053768A" w:rsidRPr="007A5822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12, 13 – якщо такий розріз розраховувався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відділений окремо від інших видів технічних резервів у складі резерву премій або резерву збитків, водночас інші види технічних резервів у складі резерву премій або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12, 13;</w:t>
      </w:r>
    </w:p>
    <w:p w14:paraId="57C7A701" w14:textId="38E357F1" w:rsidR="0053768A" w:rsidRDefault="0053768A" w:rsidP="005376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15, 16 – якщо страховик формує нереалізовані очікувані регреси у складі резерву збитків, водночас інші види технічних резервів у складі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15, 16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B17C5D" w14:textId="1B9DC6FB" w:rsidR="00AF0A46" w:rsidRDefault="00AF0A46" w:rsidP="005376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18, 19 – якщо у складі резерву заявлених, але не виплачених збитків, наявні врегульовані заявлені вимоги, за якими прийнято рішення про визнання випадку страховим та розмір страхової виплати / страховик зобов’язаний здійснити повернення суми страхової премії або її частини, але оплата ще не здійснена в 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повному обсязі. Такі резерви відображаються без урахування ефекту дисконтування та резерву витрат на врегулювання збитків.</w:t>
      </w:r>
    </w:p>
    <w:p w14:paraId="6AF6D1F1" w14:textId="0C42C509" w:rsidR="00DB2144" w:rsidRDefault="00DB2144" w:rsidP="00DB21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заповненні </w:t>
      </w:r>
      <w:r w:rsidRPr="00BF7AFE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параметрів H032 (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H032)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враховує</w:t>
      </w:r>
      <w:r w:rsidR="00BF7AFE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наступний зв’язок між ними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E0E927" w14:textId="77777777" w:rsidR="00DB2144" w:rsidRDefault="00DB2144" w:rsidP="00DB21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використання загальної моделі </w:t>
      </w: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резерву премій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«01» резерв премій = «03» найкраща оцінка резерву премій + «10» маржа ризику у резерві премій;</w:t>
      </w:r>
    </w:p>
    <w:p w14:paraId="645D29E6" w14:textId="7453E4B9" w:rsidR="00DB2144" w:rsidRDefault="00DB2144" w:rsidP="00DB21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використання спрощеної моделі </w:t>
      </w: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резерву премій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«01» резерв премій = «05» резерв незароблених премій (не застосовується амортизація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витрат, врахування інших грошових потоків премій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4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«06» резерв незароблених премій (застосовується амортизація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витрат, врахування інших грошових потоків премій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«14» компонент збитку</w:t>
      </w:r>
      <w:r w:rsidR="00F70ECD" w:rsidRPr="00F70E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обтяжливих договорів)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1D4740" w14:textId="71903857" w:rsidR="00DB2144" w:rsidRDefault="00F55286" w:rsidP="00DB21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DB2144">
        <w:rPr>
          <w:rFonts w:ascii="Times New Roman" w:eastAsia="Times New Roman" w:hAnsi="Times New Roman" w:cs="Times New Roman"/>
          <w:sz w:val="28"/>
          <w:szCs w:val="28"/>
          <w:lang w:eastAsia="uk-UA"/>
        </w:rPr>
        <w:t>«02» резерв збитків = «04» найкраща оцінка резерву збитків + «11» маржа ризику у резерві премій;</w:t>
      </w:r>
    </w:p>
    <w:p w14:paraId="2F435544" w14:textId="54F8A16F" w:rsidR="00DB2144" w:rsidRPr="00B22BA8" w:rsidRDefault="00F55286" w:rsidP="00DB214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DB2144">
        <w:rPr>
          <w:rFonts w:ascii="Times New Roman" w:eastAsia="Times New Roman" w:hAnsi="Times New Roman" w:cs="Times New Roman"/>
          <w:sz w:val="28"/>
          <w:szCs w:val="28"/>
          <w:lang w:eastAsia="uk-UA"/>
        </w:rPr>
        <w:t>«04» найкраща оцінка резерву збитків = «07» резерв заявлених, але не виплачених збитків + «08» резерв збитків, які виникли, але не заявлені.</w:t>
      </w:r>
    </w:p>
    <w:p w14:paraId="30E3EAFE" w14:textId="2C62C6F0" w:rsidR="005666BC" w:rsidRDefault="005666BC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H033).</w:t>
      </w:r>
    </w:p>
    <w:p w14:paraId="7B7AB02C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значень:</w:t>
      </w:r>
    </w:p>
    <w:p w14:paraId="2CC57C6D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 – для значень 05, 06 довідника H032;</w:t>
      </w:r>
    </w:p>
    <w:p w14:paraId="2F431F91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04, 05, 06, 07, 08, 09 – для значень 08, 09, 16, 17 довідника H032;</w:t>
      </w:r>
    </w:p>
    <w:p w14:paraId="3D1EB978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10, 12 – для значень 08, 09 довідника H032;</w:t>
      </w:r>
    </w:p>
    <w:p w14:paraId="5EBE087C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11 – для значень 05, 06, 08, 09 довідника H032;</w:t>
      </w:r>
    </w:p>
    <w:p w14:paraId="3B58595C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13, 14, 15 – для значень 10, 11 довідника H032;</w:t>
      </w:r>
    </w:p>
    <w:p w14:paraId="4768EFDE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16 – для значення 11 довідника H032;</w:t>
      </w:r>
    </w:p>
    <w:p w14:paraId="1FC70280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(= #) – для значень 01, 02, 03, 04, 07, 12, 13, 14, 15, 18, 19 довідника H032;</w:t>
      </w:r>
    </w:p>
    <w:p w14:paraId="346BB912" w14:textId="77777777" w:rsid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(= #) – для значень 09, 16, 17 довідника H032, якщо не можуть бути використані (не застосовуються) інші значення довідника H033.</w:t>
      </w:r>
    </w:p>
    <w:p w14:paraId="32BAD63C" w14:textId="0F045634" w:rsidR="005666BC" w:rsidRPr="00412701" w:rsidRDefault="005666BC" w:rsidP="00AF0A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D3B9092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2604F6" w14:textId="02EC3C1E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«Зобов’язання за наданими гарантіями»</w:t>
      </w:r>
    </w:p>
    <w:p w14:paraId="7A9915A0" w14:textId="6666B6D0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5DDF872C" w14:textId="5F5952C6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за наданими гарантіями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63517A20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за наданими гарантіями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47C700FB" w14:textId="0C649A86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87D717B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F773C6C" w14:textId="05C3416D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5C55D2AD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2E7A34A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70367B" w14:textId="3BCAFA68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«Зобов’язання перед кредитними установами (банками)»</w:t>
      </w:r>
    </w:p>
    <w:p w14:paraId="2AE6FC67" w14:textId="20D0CF42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7A6DCE96" w14:textId="00C963EE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перед кредитними установами (банками)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619B4228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перед кредитними установами (банками)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C45E781" w14:textId="32A62885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0CEF3B7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5E6881A1" w14:textId="30DF8624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розрахунку технічних резервів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H033), набуває значення відсутності розрізу (= #).</w:t>
      </w:r>
    </w:p>
    <w:p w14:paraId="6A41E8A2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7D86854F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B52E92" w14:textId="74F53866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«Векселі видані»</w:t>
      </w:r>
    </w:p>
    <w:p w14:paraId="3DC86F15" w14:textId="1D11B57C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4D5A3C83" w14:textId="490B4773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виданими векселями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19D05D29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виданими векселями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992B320" w14:textId="3D9E5D0A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BEECC89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53296B8D" w14:textId="420CA0A9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770FDA82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63EA8B6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FA1AB2" w14:textId="7E818455" w:rsidR="00FE2CE4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«Фінансові зобов’язання за випущеними борговими цінними паперами»</w:t>
      </w:r>
    </w:p>
    <w:p w14:paraId="26C6D1FA" w14:textId="0267D244" w:rsidR="005666BC" w:rsidRPr="00412701" w:rsidRDefault="005666BC" w:rsidP="00FE2CE4">
      <w:pPr>
        <w:pStyle w:val="1"/>
        <w:spacing w:before="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</w:t>
      </w:r>
      <w:r w:rsidR="00FE2CE4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пис параметрів</w:t>
      </w:r>
      <w:r w:rsidR="00FE2CE4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.</w:t>
      </w:r>
    </w:p>
    <w:p w14:paraId="34722742" w14:textId="50C0E423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 за випущеними борговими цінними паперами 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1A58D4BD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 за випущеними борговими цінними паперами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5CE60E41" w14:textId="3D9671F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00BDCB47" w14:textId="15943F9E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C2C1958" w14:textId="156F3EE8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12D50171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0A4FB12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633C60" w14:textId="51D548E8" w:rsidR="005666BC" w:rsidRPr="00412701" w:rsidRDefault="008369DC" w:rsidP="00512783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="005666BC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512783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Кредиторська заборгованість за операціями страхування та перестрахування</w:t>
      </w:r>
      <w:r w:rsidR="005666BC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D100D2B" w14:textId="17FEC4C0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330E170" w14:textId="341AB0F0" w:rsidR="00796896" w:rsidRDefault="005666BC" w:rsidP="00FE2CE4">
      <w:pPr>
        <w:spacing w:after="120" w:line="240" w:lineRule="auto"/>
        <w:ind w:firstLine="709"/>
        <w:jc w:val="both"/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9689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кредиторської заборгованості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страхування та перестрахування 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кредиторської заборгованості, іншої, ніж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</w:t>
      </w:r>
      <w:r w:rsidR="007968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30008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9689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періоду.</w:t>
      </w:r>
      <w:r w:rsidR="00796896" w:rsidRPr="00412701">
        <w:t xml:space="preserve"> </w:t>
      </w:r>
    </w:p>
    <w:p w14:paraId="12C28BFE" w14:textId="0C80FD7D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9689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кредиторської заборгованості</w:t>
      </w:r>
      <w:r w:rsidR="00796896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страхування та перестрахування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кредиторської заборгованості, іншої, ніж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</w:t>
      </w:r>
      <w:r w:rsidR="007968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30008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кінець звітного періоду.</w:t>
      </w:r>
    </w:p>
    <w:p w14:paraId="1B74B6AE" w14:textId="1458C955" w:rsidR="00D85379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14582388" w14:textId="7D009C2F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457CCEF" w14:textId="3BFF56C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075DACF7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49F29DB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157760" w14:textId="5F41A282" w:rsidR="005666BC" w:rsidRPr="00296A1B" w:rsidRDefault="008369DC" w:rsidP="00512783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IRB300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08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12783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Кредиторська заборгованість, інша, ніж кредиторська заборгованість за операціями страхування та перестрахування</w:t>
      </w:r>
      <w:r w:rsidR="005666BC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79155ED" w14:textId="052A9433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3D9A137B" w14:textId="095FE6EB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кредиторської заборгованості, іншої, ніж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початок звітного періоду.</w:t>
      </w:r>
    </w:p>
    <w:p w14:paraId="5AEA19DE" w14:textId="3ED36228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кредиторської заборгованості, іншої, ніж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1EF3EBA" w14:textId="372A97D5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14:paraId="324640AF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4C2C4E9E" w14:textId="2A505B5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5AD0E375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97F9FB1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1E36A0" w14:textId="0B4F4D63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09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забезпечення та зобов’язання»</w:t>
      </w:r>
    </w:p>
    <w:p w14:paraId="72224C1F" w14:textId="1BEB2D6B" w:rsidR="005666BC" w:rsidRPr="00FB4ED3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FB4E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CEE3462" w14:textId="3DE831AA" w:rsidR="008E651B" w:rsidRPr="00A16723" w:rsidRDefault="005666BC" w:rsidP="008E651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інших забезпечень та зобов’язань, що не увійшли до показників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IRB30001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IRB30008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але відображені у Звіті про фінансовий стан, складеному відповідно до вимог міжнародних стандартів фінансової звітності,</w:t>
      </w:r>
      <w:r w:rsidR="00D85379" w:rsidRPr="00A1672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періоду.</w:t>
      </w:r>
      <w:r w:rsidR="00D85379" w:rsidRPr="00A16723">
        <w:t xml:space="preserve">  </w:t>
      </w:r>
      <w:r w:rsidR="00D85379" w:rsidRPr="00FB4ED3">
        <w:rPr>
          <w:rFonts w:ascii="Times New Roman" w:hAnsi="Times New Roman" w:cs="Times New Roman"/>
          <w:sz w:val="28"/>
          <w:szCs w:val="28"/>
        </w:rPr>
        <w:t>Забезпечення та зобов’язання</w:t>
      </w:r>
      <w:r w:rsidR="00D85379" w:rsidRPr="00EB569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D85379">
        <w:rPr>
          <w:rFonts w:ascii="Times New Roman" w:hAnsi="Times New Roman" w:cs="Times New Roman"/>
          <w:sz w:val="28"/>
          <w:szCs w:val="28"/>
        </w:rPr>
        <w:t>міжнародного стандарту фінансової звітності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17 «Страхові контракти», визнані у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в даний показник не включаються.</w:t>
      </w:r>
    </w:p>
    <w:p w14:paraId="73F17D24" w14:textId="717C3239" w:rsidR="00D85379" w:rsidRPr="00412701" w:rsidRDefault="005666BC" w:rsidP="00D8537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7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A167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інших забезпечень та зобов’язань,</w:t>
      </w:r>
      <w:r w:rsidR="00D85379" w:rsidRPr="00A167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не увійшли до показників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IRB30001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IRB30008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85379" w:rsidRPr="00FB4ED3">
        <w:rPr>
          <w:rFonts w:ascii="Times New Roman" w:hAnsi="Times New Roman" w:cs="Times New Roman"/>
          <w:sz w:val="28"/>
          <w:szCs w:val="28"/>
        </w:rPr>
        <w:t>але відображені у Звіті про фінансовий стан, складеному відповідно до вимог міжнародних стандартів фінансової звітності</w:t>
      </w:r>
      <w:r w:rsidR="00D85379" w:rsidRPr="00A16723">
        <w:rPr>
          <w:rFonts w:ascii="Times New Roman" w:hAnsi="Times New Roman" w:cs="Times New Roman"/>
          <w:sz w:val="28"/>
          <w:szCs w:val="28"/>
        </w:rPr>
        <w:t>,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85379" w:rsidRPr="00EB569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FB4ED3">
        <w:rPr>
          <w:rFonts w:ascii="Times New Roman" w:hAnsi="Times New Roman" w:cs="Times New Roman"/>
          <w:sz w:val="28"/>
          <w:szCs w:val="28"/>
        </w:rPr>
        <w:t>Забезпечення та зобов’язання</w:t>
      </w:r>
      <w:r w:rsidR="00D85379" w:rsidRPr="00EB569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D85379">
        <w:rPr>
          <w:rFonts w:ascii="Times New Roman" w:hAnsi="Times New Roman" w:cs="Times New Roman"/>
          <w:sz w:val="28"/>
          <w:szCs w:val="28"/>
        </w:rPr>
        <w:t>міжнародного стандарту фінансової звітності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17 «Страхові контракти», визнані у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в даний показник не включаються.</w:t>
      </w:r>
    </w:p>
    <w:p w14:paraId="7AF016E5" w14:textId="2444E6FB" w:rsidR="005666BC" w:rsidRPr="00412701" w:rsidRDefault="006840B0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2C5875" w:rsidRPr="002C5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5666B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="005666B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67AB4AE5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1652F33" w14:textId="1D1AA084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11D0829C" w14:textId="7100E91A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AFB8062" w14:textId="2D7905D8" w:rsidR="003653AB" w:rsidRPr="00412701" w:rsidRDefault="003653AB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F088D7" w14:textId="13666270" w:rsidR="003653AB" w:rsidRPr="00412701" w:rsidRDefault="003653AB" w:rsidP="00296A1B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IRB3001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296A1B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Забезпечення та зобов’язання</w:t>
      </w:r>
      <w:r w:rsidR="00686262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усього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EBEA913" w14:textId="14C29B0F" w:rsidR="003653AB" w:rsidRPr="00412701" w:rsidRDefault="003653AB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FE2CE4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="00FE2CE4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3369193E" w14:textId="3B8FDC2E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забезпечень та зобов’язань на початок звітного періоду.</w:t>
      </w:r>
      <w:r w:rsidRPr="00412701"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30001</w:t>
      </w:r>
      <w:r w:rsidR="00977D7C" w:rsidRPr="00977D7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</w:t>
      </w:r>
      <w:r w:rsidR="00511F8E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1FA231B" w14:textId="7AED8B65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забезпечень та зобов’язань на кінець звітного періоду.</w:t>
      </w:r>
      <w:r w:rsidRPr="00412701"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30001</w:t>
      </w:r>
      <w:r w:rsidR="00977D7C" w:rsidRPr="00977D7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</w:t>
      </w:r>
      <w:r w:rsidR="00511F8E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421BCDE" w14:textId="4D237191" w:rsidR="003653AB" w:rsidRPr="00412701" w:rsidRDefault="006840B0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2C5875" w:rsidRPr="002C5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3653AB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="003653AB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2D57665E" w14:textId="77777777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CFEF633" w14:textId="35F1B940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2C37B209" w14:textId="77777777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набуває значення відсутності розрізу (= #).</w:t>
      </w:r>
    </w:p>
    <w:p w14:paraId="072F4E4D" w14:textId="0609959C" w:rsidR="00106283" w:rsidRPr="00412701" w:rsidRDefault="00106283"/>
    <w:sectPr w:rsidR="00106283" w:rsidRPr="00412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881F51"/>
    <w:multiLevelType w:val="hybridMultilevel"/>
    <w:tmpl w:val="F32A149E"/>
    <w:lvl w:ilvl="0" w:tplc="BA8C20A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37EFF"/>
    <w:multiLevelType w:val="hybridMultilevel"/>
    <w:tmpl w:val="08028D16"/>
    <w:lvl w:ilvl="0" w:tplc="087AAA20">
      <w:start w:val="1"/>
      <w:numFmt w:val="decimal"/>
      <w:lvlText w:val="%1."/>
      <w:lvlJc w:val="center"/>
      <w:pPr>
        <w:ind w:left="3196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4B08CA"/>
    <w:multiLevelType w:val="hybridMultilevel"/>
    <w:tmpl w:val="9B0820D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8C"/>
    <w:rsid w:val="000604DA"/>
    <w:rsid w:val="00106283"/>
    <w:rsid w:val="00121D9E"/>
    <w:rsid w:val="00167AF7"/>
    <w:rsid w:val="00204FFF"/>
    <w:rsid w:val="00296A1B"/>
    <w:rsid w:val="002C5875"/>
    <w:rsid w:val="00313654"/>
    <w:rsid w:val="003327AB"/>
    <w:rsid w:val="003653AB"/>
    <w:rsid w:val="00412701"/>
    <w:rsid w:val="004955BC"/>
    <w:rsid w:val="004E6952"/>
    <w:rsid w:val="00511F8E"/>
    <w:rsid w:val="00512783"/>
    <w:rsid w:val="00531721"/>
    <w:rsid w:val="0053768A"/>
    <w:rsid w:val="005666BC"/>
    <w:rsid w:val="0057360D"/>
    <w:rsid w:val="006036D3"/>
    <w:rsid w:val="00660A7D"/>
    <w:rsid w:val="006703FC"/>
    <w:rsid w:val="006840B0"/>
    <w:rsid w:val="0068431A"/>
    <w:rsid w:val="00686262"/>
    <w:rsid w:val="00690481"/>
    <w:rsid w:val="006E546C"/>
    <w:rsid w:val="006F5250"/>
    <w:rsid w:val="006F65B6"/>
    <w:rsid w:val="00711209"/>
    <w:rsid w:val="0075578C"/>
    <w:rsid w:val="007564E5"/>
    <w:rsid w:val="00796896"/>
    <w:rsid w:val="007E4146"/>
    <w:rsid w:val="008369DC"/>
    <w:rsid w:val="00870FFC"/>
    <w:rsid w:val="00875FD9"/>
    <w:rsid w:val="0088677F"/>
    <w:rsid w:val="008E651B"/>
    <w:rsid w:val="00907F67"/>
    <w:rsid w:val="00910270"/>
    <w:rsid w:val="00977D7C"/>
    <w:rsid w:val="009F6C72"/>
    <w:rsid w:val="00A16723"/>
    <w:rsid w:val="00A61912"/>
    <w:rsid w:val="00A747A3"/>
    <w:rsid w:val="00AC6BEE"/>
    <w:rsid w:val="00AF0A46"/>
    <w:rsid w:val="00B975E8"/>
    <w:rsid w:val="00BF40AF"/>
    <w:rsid w:val="00BF72CD"/>
    <w:rsid w:val="00BF7AFE"/>
    <w:rsid w:val="00C13A03"/>
    <w:rsid w:val="00C45CD7"/>
    <w:rsid w:val="00C57930"/>
    <w:rsid w:val="00CB33E3"/>
    <w:rsid w:val="00D85379"/>
    <w:rsid w:val="00DB2144"/>
    <w:rsid w:val="00EA6948"/>
    <w:rsid w:val="00F226A4"/>
    <w:rsid w:val="00F55286"/>
    <w:rsid w:val="00F70ECD"/>
    <w:rsid w:val="00F95283"/>
    <w:rsid w:val="00FB4ED3"/>
    <w:rsid w:val="00FE2CE4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9B29"/>
  <w15:chartTrackingRefBased/>
  <w15:docId w15:val="{E1934972-7F81-483B-91A1-7FECA61B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BC"/>
  </w:style>
  <w:style w:type="paragraph" w:styleId="1">
    <w:name w:val="heading 1"/>
    <w:basedOn w:val="a"/>
    <w:next w:val="a"/>
    <w:link w:val="10"/>
    <w:uiPriority w:val="9"/>
    <w:qFormat/>
    <w:rsid w:val="00566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6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0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36D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036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36D3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036D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36D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036D3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3327AB"/>
    <w:rPr>
      <w:color w:val="0563C1"/>
      <w:u w:val="single"/>
    </w:rPr>
  </w:style>
  <w:style w:type="character" w:customStyle="1" w:styleId="spanrvts0">
    <w:name w:val="span_rvts0"/>
    <w:basedOn w:val="a0"/>
    <w:rsid w:val="00907F6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B232-CF00-46EC-8F0D-63EEB514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8754</Words>
  <Characters>4990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8</cp:revision>
  <dcterms:created xsi:type="dcterms:W3CDTF">2024-11-07T09:44:00Z</dcterms:created>
  <dcterms:modified xsi:type="dcterms:W3CDTF">2024-11-15T09:16:00Z</dcterms:modified>
</cp:coreProperties>
</file>